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7EA8" w:rsidRDefault="008C7EA8">
      <w:pPr>
        <w:tabs>
          <w:tab w:val="left" w:pos="284"/>
          <w:tab w:val="left" w:pos="1418"/>
        </w:tabs>
        <w:spacing w:line="360" w:lineRule="auto"/>
        <w:ind w:right="-17"/>
        <w:rPr>
          <w:rFonts w:ascii="Times New Roman" w:eastAsia="Times New Roman" w:hAnsi="Times New Roman" w:cs="Times New Roman"/>
          <w:b/>
        </w:rPr>
      </w:pPr>
    </w:p>
    <w:p w:rsidR="008C7EA8" w:rsidRDefault="007C04D2">
      <w:pPr>
        <w:rPr>
          <w:rFonts w:ascii="Times New Roman" w:eastAsia="Times New Roman" w:hAnsi="Times New Roman" w:cs="Times New Roman"/>
          <w:b/>
          <w:sz w:val="24"/>
          <w:szCs w:val="24"/>
        </w:rPr>
      </w:pPr>
      <w:r>
        <w:rPr>
          <w:noProof/>
        </w:rPr>
        <w:drawing>
          <wp:anchor distT="0" distB="0" distL="0" distR="0" simplePos="0" relativeHeight="251658240" behindDoc="1" locked="0" layoutInCell="1" hidden="0" allowOverlap="1">
            <wp:simplePos x="0" y="0"/>
            <wp:positionH relativeFrom="page">
              <wp:align>right</wp:align>
            </wp:positionH>
            <wp:positionV relativeFrom="page">
              <wp:posOffset>8890</wp:posOffset>
            </wp:positionV>
            <wp:extent cx="7560310" cy="10692765"/>
            <wp:effectExtent l="0" t="0" r="0" b="0"/>
            <wp:wrapNone/>
            <wp:docPr id="26" name="image2.png" descr="Text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0" name="image2.png" descr="Texto&#10;&#10;Descrição gerada automaticamente com confiança média"/>
                    <pic:cNvPicPr preferRelativeResize="0"/>
                  </pic:nvPicPr>
                  <pic:blipFill>
                    <a:blip r:embed="rId8"/>
                    <a:srcRect/>
                    <a:stretch>
                      <a:fillRect/>
                    </a:stretch>
                  </pic:blipFill>
                  <pic:spPr>
                    <a:xfrm>
                      <a:off x="0" y="0"/>
                      <a:ext cx="7560310" cy="10692765"/>
                    </a:xfrm>
                    <a:prstGeom prst="rect">
                      <a:avLst/>
                    </a:prstGeom>
                    <a:ln/>
                  </pic:spPr>
                </pic:pic>
              </a:graphicData>
            </a:graphic>
          </wp:anchor>
        </w:drawing>
      </w:r>
    </w:p>
    <w:p w:rsidR="008C7EA8" w:rsidRDefault="007C04D2">
      <w:pPr>
        <w:rPr>
          <w:rFonts w:ascii="Times New Roman" w:eastAsia="Times New Roman" w:hAnsi="Times New Roman" w:cs="Times New Roman"/>
          <w:b/>
          <w:color w:val="405CA1"/>
          <w:sz w:val="56"/>
          <w:szCs w:val="56"/>
        </w:rPr>
      </w:pPr>
      <w:r>
        <w:rPr>
          <w:rFonts w:ascii="Times New Roman" w:eastAsia="Times New Roman" w:hAnsi="Times New Roman" w:cs="Times New Roman"/>
          <w:color w:val="405CA1"/>
          <w:sz w:val="56"/>
          <w:szCs w:val="56"/>
        </w:rPr>
        <w:t>PREGÃO ELETRÔNICO (SRP) Nº</w:t>
      </w:r>
    </w:p>
    <w:p w:rsidR="008C7EA8" w:rsidRDefault="007C04D2">
      <w:pPr>
        <w:rPr>
          <w:rFonts w:ascii="Times New Roman" w:eastAsia="Times New Roman" w:hAnsi="Times New Roman" w:cs="Times New Roman"/>
          <w:b/>
          <w:color w:val="5B5B5F"/>
          <w:sz w:val="28"/>
          <w:szCs w:val="28"/>
        </w:rPr>
      </w:pPr>
      <w:r>
        <w:rPr>
          <w:rFonts w:ascii="Times New Roman" w:eastAsia="Times New Roman" w:hAnsi="Times New Roman" w:cs="Times New Roman"/>
          <w:b/>
          <w:sz w:val="28"/>
          <w:szCs w:val="28"/>
        </w:rPr>
        <w:t>90006/2025.</w:t>
      </w:r>
    </w:p>
    <w:p w:rsidR="008C7EA8" w:rsidRDefault="008C7EA8">
      <w:pPr>
        <w:spacing w:line="259" w:lineRule="auto"/>
        <w:rPr>
          <w:rFonts w:ascii="Times New Roman" w:eastAsia="Times New Roman" w:hAnsi="Times New Roman" w:cs="Times New Roman"/>
          <w:b/>
          <w:sz w:val="28"/>
          <w:szCs w:val="28"/>
        </w:rPr>
      </w:pPr>
    </w:p>
    <w:p w:rsidR="008C7EA8" w:rsidRDefault="008C7EA8">
      <w:pPr>
        <w:spacing w:line="259" w:lineRule="auto"/>
        <w:rPr>
          <w:rFonts w:ascii="Times New Roman" w:eastAsia="Times New Roman" w:hAnsi="Times New Roman" w:cs="Times New Roman"/>
          <w:b/>
          <w:sz w:val="28"/>
          <w:szCs w:val="28"/>
        </w:rPr>
      </w:pPr>
    </w:p>
    <w:p w:rsidR="008C7EA8" w:rsidRDefault="007C04D2">
      <w:pPr>
        <w:spacing w:line="259" w:lineRule="auto"/>
        <w:rPr>
          <w:rFonts w:ascii="Times New Roman" w:eastAsia="Times New Roman" w:hAnsi="Times New Roman" w:cs="Times New Roman"/>
          <w:b/>
          <w:color w:val="405CA1"/>
          <w:sz w:val="28"/>
          <w:szCs w:val="28"/>
        </w:rPr>
      </w:pPr>
      <w:r>
        <w:rPr>
          <w:rFonts w:ascii="Times New Roman" w:eastAsia="Times New Roman" w:hAnsi="Times New Roman" w:cs="Times New Roman"/>
          <w:b/>
          <w:color w:val="405CA1"/>
          <w:sz w:val="28"/>
          <w:szCs w:val="28"/>
        </w:rPr>
        <w:t>CONTRATANTE (UASG)</w:t>
      </w:r>
    </w:p>
    <w:p w:rsidR="008C7EA8" w:rsidRDefault="007C04D2">
      <w:pPr>
        <w:rPr>
          <w:rFonts w:ascii="Times New Roman" w:eastAsia="Times New Roman" w:hAnsi="Times New Roman" w:cs="Times New Roman"/>
          <w:b/>
          <w:color w:val="5B5B5F"/>
          <w:sz w:val="28"/>
          <w:szCs w:val="28"/>
        </w:rPr>
      </w:pPr>
      <w:r>
        <w:rPr>
          <w:rFonts w:ascii="Times New Roman" w:eastAsia="Times New Roman" w:hAnsi="Times New Roman" w:cs="Times New Roman"/>
          <w:b/>
          <w:sz w:val="28"/>
          <w:szCs w:val="28"/>
        </w:rPr>
        <w:t>153066.</w:t>
      </w:r>
    </w:p>
    <w:p w:rsidR="008C7EA8" w:rsidRDefault="008C7EA8">
      <w:pPr>
        <w:rPr>
          <w:rFonts w:ascii="Times New Roman" w:eastAsia="Times New Roman" w:hAnsi="Times New Roman" w:cs="Times New Roman"/>
          <w:b/>
          <w:sz w:val="28"/>
          <w:szCs w:val="28"/>
        </w:rPr>
      </w:pPr>
    </w:p>
    <w:p w:rsidR="008C7EA8" w:rsidRDefault="008C7EA8">
      <w:pPr>
        <w:rPr>
          <w:rFonts w:ascii="Times New Roman" w:eastAsia="Times New Roman" w:hAnsi="Times New Roman" w:cs="Times New Roman"/>
          <w:b/>
          <w:sz w:val="28"/>
          <w:szCs w:val="28"/>
        </w:rPr>
      </w:pPr>
    </w:p>
    <w:p w:rsidR="008C7EA8" w:rsidRDefault="007C04D2">
      <w:pPr>
        <w:rPr>
          <w:rFonts w:ascii="Times New Roman" w:eastAsia="Times New Roman" w:hAnsi="Times New Roman" w:cs="Times New Roman"/>
          <w:b/>
          <w:color w:val="5B5B5F"/>
          <w:sz w:val="28"/>
          <w:szCs w:val="28"/>
        </w:rPr>
      </w:pPr>
      <w:r>
        <w:rPr>
          <w:rFonts w:ascii="Times New Roman" w:eastAsia="Times New Roman" w:hAnsi="Times New Roman" w:cs="Times New Roman"/>
          <w:b/>
          <w:color w:val="405CA1"/>
          <w:sz w:val="28"/>
          <w:szCs w:val="28"/>
        </w:rPr>
        <w:t>OBJETO</w:t>
      </w:r>
    </w:p>
    <w:p w:rsidR="008C7EA8" w:rsidRDefault="007C04D2">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Registro de preços para aquisição de materiais e equipamentos essenciais para a prestação de serviços realizados através da Superintendência de Serviços Gerais (SSG) da Universidade Federal da Paraíba (UFPB), conforme condições, quantidades e exigências es</w:t>
      </w:r>
      <w:r>
        <w:rPr>
          <w:rFonts w:ascii="Times New Roman" w:eastAsia="Times New Roman" w:hAnsi="Times New Roman" w:cs="Times New Roman"/>
          <w:b/>
          <w:sz w:val="28"/>
          <w:szCs w:val="28"/>
        </w:rPr>
        <w:t>tabelecidas neste Edital e em todos os seus anexos.</w:t>
      </w:r>
    </w:p>
    <w:p w:rsidR="008C7EA8" w:rsidRDefault="008C7EA8">
      <w:pPr>
        <w:rPr>
          <w:rFonts w:ascii="Times New Roman" w:eastAsia="Times New Roman" w:hAnsi="Times New Roman" w:cs="Times New Roman"/>
          <w:b/>
          <w:sz w:val="28"/>
          <w:szCs w:val="28"/>
        </w:rPr>
      </w:pPr>
    </w:p>
    <w:p w:rsidR="008C7EA8" w:rsidRDefault="008C7EA8">
      <w:pPr>
        <w:rPr>
          <w:rFonts w:ascii="Times New Roman" w:eastAsia="Times New Roman" w:hAnsi="Times New Roman" w:cs="Times New Roman"/>
          <w:b/>
          <w:sz w:val="28"/>
          <w:szCs w:val="28"/>
        </w:rPr>
      </w:pPr>
    </w:p>
    <w:p w:rsidR="008C7EA8" w:rsidRDefault="007C04D2">
      <w:pPr>
        <w:rPr>
          <w:rFonts w:ascii="Times New Roman" w:eastAsia="Times New Roman" w:hAnsi="Times New Roman" w:cs="Times New Roman"/>
          <w:b/>
          <w:color w:val="405CA1"/>
          <w:sz w:val="28"/>
          <w:szCs w:val="28"/>
        </w:rPr>
      </w:pPr>
      <w:r>
        <w:rPr>
          <w:rFonts w:ascii="Times New Roman" w:eastAsia="Times New Roman" w:hAnsi="Times New Roman" w:cs="Times New Roman"/>
          <w:b/>
          <w:color w:val="405CA1"/>
          <w:sz w:val="28"/>
          <w:szCs w:val="28"/>
        </w:rPr>
        <w:t>VALOR TOTAL DA CONTRATAÇÃO</w:t>
      </w:r>
    </w:p>
    <w:p w:rsidR="008C7EA8" w:rsidRDefault="007C04D2">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R$ 212.377,56 (Duzentos e doze mil, trezentos e setenta e sete reais e </w:t>
      </w:r>
      <w:proofErr w:type="gramStart"/>
      <w:r>
        <w:rPr>
          <w:rFonts w:ascii="Times New Roman" w:eastAsia="Times New Roman" w:hAnsi="Times New Roman" w:cs="Times New Roman"/>
          <w:b/>
          <w:sz w:val="28"/>
          <w:szCs w:val="28"/>
        </w:rPr>
        <w:t>cinquenta</w:t>
      </w:r>
      <w:proofErr w:type="gramEnd"/>
      <w:r>
        <w:rPr>
          <w:rFonts w:ascii="Times New Roman" w:eastAsia="Times New Roman" w:hAnsi="Times New Roman" w:cs="Times New Roman"/>
          <w:b/>
          <w:sz w:val="28"/>
          <w:szCs w:val="28"/>
        </w:rPr>
        <w:t xml:space="preserve"> e seis centavos).</w:t>
      </w:r>
    </w:p>
    <w:p w:rsidR="008C7EA8" w:rsidRDefault="008C7EA8">
      <w:pPr>
        <w:jc w:val="both"/>
        <w:rPr>
          <w:rFonts w:ascii="Times New Roman" w:eastAsia="Times New Roman" w:hAnsi="Times New Roman" w:cs="Times New Roman"/>
          <w:b/>
          <w:sz w:val="28"/>
          <w:szCs w:val="28"/>
        </w:rPr>
      </w:pPr>
    </w:p>
    <w:p w:rsidR="008C7EA8" w:rsidRDefault="008C7EA8">
      <w:pPr>
        <w:rPr>
          <w:rFonts w:ascii="Times New Roman" w:eastAsia="Times New Roman" w:hAnsi="Times New Roman" w:cs="Times New Roman"/>
          <w:b/>
          <w:sz w:val="28"/>
          <w:szCs w:val="28"/>
        </w:rPr>
      </w:pPr>
    </w:p>
    <w:p w:rsidR="008C7EA8" w:rsidRDefault="007C04D2">
      <w:pPr>
        <w:rPr>
          <w:rFonts w:ascii="Times New Roman" w:eastAsia="Times New Roman" w:hAnsi="Times New Roman" w:cs="Times New Roman"/>
          <w:b/>
          <w:color w:val="405CA1"/>
          <w:sz w:val="28"/>
          <w:szCs w:val="28"/>
        </w:rPr>
      </w:pPr>
      <w:r>
        <w:rPr>
          <w:rFonts w:ascii="Times New Roman" w:eastAsia="Times New Roman" w:hAnsi="Times New Roman" w:cs="Times New Roman"/>
          <w:b/>
          <w:color w:val="405CA1"/>
          <w:sz w:val="28"/>
          <w:szCs w:val="28"/>
        </w:rPr>
        <w:t>DATA DA SESSÃO PÚBLICA</w:t>
      </w:r>
    </w:p>
    <w:p w:rsidR="008C7EA8" w:rsidRDefault="007C04D2">
      <w:pPr>
        <w:rPr>
          <w:rFonts w:ascii="Times New Roman" w:eastAsia="Times New Roman" w:hAnsi="Times New Roman" w:cs="Times New Roman"/>
          <w:b/>
          <w:color w:val="5B5B5F"/>
          <w:sz w:val="28"/>
          <w:szCs w:val="28"/>
          <w:highlight w:val="white"/>
        </w:rPr>
      </w:pPr>
      <w:r>
        <w:rPr>
          <w:rFonts w:ascii="Times New Roman" w:eastAsia="Times New Roman" w:hAnsi="Times New Roman" w:cs="Times New Roman"/>
          <w:b/>
          <w:sz w:val="28"/>
          <w:szCs w:val="28"/>
          <w:highlight w:val="white"/>
        </w:rPr>
        <w:t>Dia</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highlight w:val="white"/>
        </w:rPr>
        <w:t>10/09/2025 às 09h (horário de Brasília).</w:t>
      </w:r>
    </w:p>
    <w:p w:rsidR="008C7EA8" w:rsidRDefault="008C7EA8">
      <w:pPr>
        <w:rPr>
          <w:rFonts w:ascii="Times New Roman" w:eastAsia="Times New Roman" w:hAnsi="Times New Roman" w:cs="Times New Roman"/>
          <w:b/>
          <w:sz w:val="28"/>
          <w:szCs w:val="28"/>
        </w:rPr>
      </w:pPr>
    </w:p>
    <w:p w:rsidR="008C7EA8" w:rsidRDefault="008C7EA8">
      <w:pPr>
        <w:jc w:val="both"/>
        <w:rPr>
          <w:rFonts w:ascii="Times New Roman" w:eastAsia="Times New Roman" w:hAnsi="Times New Roman" w:cs="Times New Roman"/>
          <w:b/>
          <w:smallCaps/>
          <w:sz w:val="28"/>
          <w:szCs w:val="28"/>
        </w:rPr>
      </w:pPr>
    </w:p>
    <w:p w:rsidR="008C7EA8" w:rsidRDefault="007C04D2">
      <w:pPr>
        <w:jc w:val="both"/>
        <w:rPr>
          <w:rFonts w:ascii="Times New Roman" w:eastAsia="Times New Roman" w:hAnsi="Times New Roman" w:cs="Times New Roman"/>
          <w:smallCaps/>
          <w:color w:val="0000FF"/>
          <w:sz w:val="28"/>
          <w:szCs w:val="28"/>
        </w:rPr>
      </w:pPr>
      <w:r>
        <w:rPr>
          <w:rFonts w:ascii="Times New Roman" w:eastAsia="Times New Roman" w:hAnsi="Times New Roman" w:cs="Times New Roman"/>
          <w:b/>
          <w:smallCaps/>
          <w:color w:val="405CA1"/>
          <w:sz w:val="28"/>
          <w:szCs w:val="28"/>
        </w:rPr>
        <w:t>CRITÉRIO DE JULGAMENTO</w:t>
      </w:r>
    </w:p>
    <w:p w:rsidR="008C7EA8" w:rsidRDefault="007C04D2">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Menor preço.</w:t>
      </w:r>
    </w:p>
    <w:p w:rsidR="008C7EA8" w:rsidRDefault="008C7EA8">
      <w:pPr>
        <w:jc w:val="both"/>
        <w:rPr>
          <w:rFonts w:ascii="Times New Roman" w:eastAsia="Times New Roman" w:hAnsi="Times New Roman" w:cs="Times New Roman"/>
          <w:b/>
          <w:sz w:val="28"/>
          <w:szCs w:val="28"/>
        </w:rPr>
      </w:pPr>
    </w:p>
    <w:p w:rsidR="008C7EA8" w:rsidRDefault="008C7EA8">
      <w:pPr>
        <w:jc w:val="both"/>
        <w:rPr>
          <w:rFonts w:ascii="Times New Roman" w:eastAsia="Times New Roman" w:hAnsi="Times New Roman" w:cs="Times New Roman"/>
          <w:b/>
          <w:sz w:val="28"/>
          <w:szCs w:val="28"/>
        </w:rPr>
      </w:pPr>
    </w:p>
    <w:p w:rsidR="008C7EA8" w:rsidRDefault="007C04D2">
      <w:pPr>
        <w:jc w:val="both"/>
        <w:rPr>
          <w:rFonts w:ascii="Times New Roman" w:eastAsia="Times New Roman" w:hAnsi="Times New Roman" w:cs="Times New Roman"/>
          <w:b/>
          <w:smallCaps/>
          <w:sz w:val="28"/>
          <w:szCs w:val="28"/>
        </w:rPr>
      </w:pPr>
      <w:r>
        <w:rPr>
          <w:rFonts w:ascii="Times New Roman" w:eastAsia="Times New Roman" w:hAnsi="Times New Roman" w:cs="Times New Roman"/>
          <w:b/>
          <w:smallCaps/>
          <w:color w:val="405CA1"/>
          <w:sz w:val="28"/>
          <w:szCs w:val="28"/>
        </w:rPr>
        <w:t>MODO DE DISPUTA</w:t>
      </w:r>
    </w:p>
    <w:p w:rsidR="008C7EA8" w:rsidRDefault="007C04D2">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Aberto.</w:t>
      </w:r>
    </w:p>
    <w:p w:rsidR="008C7EA8" w:rsidRDefault="008C7EA8">
      <w:pPr>
        <w:rPr>
          <w:rFonts w:ascii="Times New Roman" w:eastAsia="Times New Roman" w:hAnsi="Times New Roman" w:cs="Times New Roman"/>
          <w:b/>
          <w:sz w:val="28"/>
          <w:szCs w:val="28"/>
        </w:rPr>
      </w:pPr>
    </w:p>
    <w:p w:rsidR="008C7EA8" w:rsidRDefault="008C7EA8">
      <w:pPr>
        <w:rPr>
          <w:rFonts w:ascii="Times New Roman" w:eastAsia="Times New Roman" w:hAnsi="Times New Roman" w:cs="Times New Roman"/>
          <w:b/>
          <w:sz w:val="28"/>
          <w:szCs w:val="28"/>
        </w:rPr>
      </w:pPr>
    </w:p>
    <w:p w:rsidR="008C7EA8" w:rsidRDefault="007C04D2">
      <w:pPr>
        <w:rPr>
          <w:rFonts w:ascii="Times New Roman" w:eastAsia="Times New Roman" w:hAnsi="Times New Roman" w:cs="Times New Roman"/>
          <w:b/>
          <w:color w:val="405CA1"/>
          <w:sz w:val="28"/>
          <w:szCs w:val="28"/>
        </w:rPr>
      </w:pPr>
      <w:r>
        <w:rPr>
          <w:rFonts w:ascii="Times New Roman" w:eastAsia="Times New Roman" w:hAnsi="Times New Roman" w:cs="Times New Roman"/>
          <w:b/>
          <w:color w:val="405CA1"/>
          <w:sz w:val="28"/>
          <w:szCs w:val="28"/>
        </w:rPr>
        <w:t>TRATAMENTO FAVORECIDO ME/EPP/EQUIPARADAS</w:t>
      </w:r>
    </w:p>
    <w:p w:rsidR="008C7EA8" w:rsidRDefault="007C04D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Sim.</w:t>
      </w:r>
    </w:p>
    <w:p w:rsidR="008C7EA8" w:rsidRDefault="008C7EA8">
      <w:pPr>
        <w:rPr>
          <w:rFonts w:ascii="Times New Roman" w:eastAsia="Times New Roman" w:hAnsi="Times New Roman" w:cs="Times New Roman"/>
          <w:b/>
          <w:sz w:val="28"/>
          <w:szCs w:val="28"/>
        </w:rPr>
      </w:pPr>
    </w:p>
    <w:p w:rsidR="008C7EA8" w:rsidRDefault="008C7EA8">
      <w:pPr>
        <w:rPr>
          <w:rFonts w:ascii="Times New Roman" w:eastAsia="Times New Roman" w:hAnsi="Times New Roman" w:cs="Times New Roman"/>
          <w:b/>
          <w:sz w:val="28"/>
          <w:szCs w:val="28"/>
        </w:rPr>
      </w:pPr>
    </w:p>
    <w:p w:rsidR="008C7EA8" w:rsidRDefault="007C04D2">
      <w:pPr>
        <w:jc w:val="both"/>
        <w:rPr>
          <w:rFonts w:ascii="Times New Roman" w:eastAsia="Times New Roman" w:hAnsi="Times New Roman" w:cs="Times New Roman"/>
          <w:b/>
          <w:smallCaps/>
          <w:sz w:val="28"/>
          <w:szCs w:val="28"/>
        </w:rPr>
      </w:pPr>
      <w:r>
        <w:rPr>
          <w:rFonts w:ascii="Times New Roman" w:eastAsia="Times New Roman" w:hAnsi="Times New Roman" w:cs="Times New Roman"/>
          <w:b/>
          <w:smallCaps/>
          <w:color w:val="405CA1"/>
          <w:sz w:val="28"/>
          <w:szCs w:val="28"/>
        </w:rPr>
        <w:t>MARGEM DE PREFERÊNCIA PARA ALGUM ITEM</w:t>
      </w:r>
    </w:p>
    <w:p w:rsidR="008C7EA8" w:rsidRDefault="007C04D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Não.</w:t>
      </w:r>
    </w:p>
    <w:p w:rsidR="008C7EA8" w:rsidRDefault="008C7EA8">
      <w:pPr>
        <w:tabs>
          <w:tab w:val="left" w:pos="284"/>
          <w:tab w:val="left" w:pos="1418"/>
        </w:tabs>
        <w:spacing w:line="360" w:lineRule="auto"/>
        <w:ind w:right="-17"/>
        <w:rPr>
          <w:rFonts w:ascii="Times New Roman" w:eastAsia="Times New Roman" w:hAnsi="Times New Roman" w:cs="Times New Roman"/>
          <w:b/>
        </w:rPr>
      </w:pPr>
    </w:p>
    <w:p w:rsidR="008C7EA8" w:rsidRDefault="008C7EA8">
      <w:pPr>
        <w:tabs>
          <w:tab w:val="left" w:pos="284"/>
          <w:tab w:val="left" w:pos="1418"/>
        </w:tabs>
        <w:spacing w:line="360" w:lineRule="auto"/>
        <w:ind w:right="-17"/>
        <w:jc w:val="center"/>
        <w:rPr>
          <w:rFonts w:ascii="Times New Roman" w:eastAsia="Times New Roman" w:hAnsi="Times New Roman" w:cs="Times New Roman"/>
          <w:b/>
        </w:rPr>
      </w:pPr>
    </w:p>
    <w:p w:rsidR="008C7EA8" w:rsidRDefault="008C7EA8">
      <w:pPr>
        <w:tabs>
          <w:tab w:val="left" w:pos="284"/>
          <w:tab w:val="left" w:pos="1418"/>
        </w:tabs>
        <w:spacing w:line="360" w:lineRule="auto"/>
        <w:ind w:right="-17"/>
        <w:jc w:val="center"/>
        <w:rPr>
          <w:rFonts w:ascii="Times New Roman" w:eastAsia="Times New Roman" w:hAnsi="Times New Roman" w:cs="Times New Roman"/>
          <w:b/>
        </w:rPr>
      </w:pPr>
    </w:p>
    <w:p w:rsidR="008C7EA8" w:rsidRDefault="007C04D2">
      <w:pPr>
        <w:pBdr>
          <w:top w:val="none" w:sz="0" w:space="0" w:color="000000"/>
          <w:left w:val="none" w:sz="0" w:space="0" w:color="000000"/>
          <w:bottom w:val="none" w:sz="0" w:space="0" w:color="000000"/>
          <w:right w:val="none" w:sz="0" w:space="0" w:color="000000"/>
          <w:between w:val="none" w:sz="0" w:space="0" w:color="000000"/>
        </w:pBdr>
        <w:jc w:val="center"/>
        <w:rPr>
          <w:rFonts w:ascii="Times New Roman" w:eastAsia="Times New Roman" w:hAnsi="Times New Roman" w:cs="Times New Roman"/>
          <w:b/>
          <w:color w:val="000000"/>
        </w:rPr>
      </w:pPr>
      <w:r>
        <w:rPr>
          <w:noProof/>
        </w:rPr>
        <w:drawing>
          <wp:anchor distT="0" distB="0" distL="114300" distR="114300" simplePos="0" relativeHeight="251659264" behindDoc="0" locked="0" layoutInCell="1" hidden="0" allowOverlap="1">
            <wp:simplePos x="0" y="0"/>
            <wp:positionH relativeFrom="column">
              <wp:posOffset>2449830</wp:posOffset>
            </wp:positionH>
            <wp:positionV relativeFrom="paragraph">
              <wp:posOffset>-440684</wp:posOffset>
            </wp:positionV>
            <wp:extent cx="771525" cy="819150"/>
            <wp:effectExtent l="0" t="0" r="0" b="0"/>
            <wp:wrapNone/>
            <wp:docPr id="25" name="image1.jpg" descr="images"/>
            <wp:cNvGraphicFramePr/>
            <a:graphic xmlns:a="http://schemas.openxmlformats.org/drawingml/2006/main">
              <a:graphicData uri="http://schemas.openxmlformats.org/drawingml/2006/picture">
                <pic:pic xmlns:pic="http://schemas.openxmlformats.org/drawingml/2006/picture">
                  <pic:nvPicPr>
                    <pic:cNvPr id="0" name="image1.jpg" descr="images"/>
                    <pic:cNvPicPr preferRelativeResize="0"/>
                  </pic:nvPicPr>
                  <pic:blipFill>
                    <a:blip r:embed="rId9"/>
                    <a:srcRect/>
                    <a:stretch>
                      <a:fillRect/>
                    </a:stretch>
                  </pic:blipFill>
                  <pic:spPr>
                    <a:xfrm>
                      <a:off x="0" y="0"/>
                      <a:ext cx="771525" cy="819150"/>
                    </a:xfrm>
                    <a:prstGeom prst="rect">
                      <a:avLst/>
                    </a:prstGeom>
                    <a:ln/>
                  </pic:spPr>
                </pic:pic>
              </a:graphicData>
            </a:graphic>
          </wp:anchor>
        </w:drawing>
      </w:r>
    </w:p>
    <w:p w:rsidR="008C7EA8" w:rsidRDefault="008C7EA8">
      <w:pPr>
        <w:pBdr>
          <w:top w:val="none" w:sz="0" w:space="0" w:color="000000"/>
          <w:left w:val="none" w:sz="0" w:space="0" w:color="000000"/>
          <w:bottom w:val="none" w:sz="0" w:space="0" w:color="000000"/>
          <w:right w:val="none" w:sz="0" w:space="0" w:color="000000"/>
          <w:between w:val="none" w:sz="0" w:space="0" w:color="000000"/>
        </w:pBdr>
        <w:jc w:val="center"/>
        <w:rPr>
          <w:rFonts w:ascii="Times New Roman" w:eastAsia="Times New Roman" w:hAnsi="Times New Roman" w:cs="Times New Roman"/>
          <w:b/>
        </w:rPr>
      </w:pPr>
    </w:p>
    <w:p w:rsidR="008C7EA8" w:rsidRDefault="007C04D2">
      <w:pPr>
        <w:pBdr>
          <w:top w:val="none" w:sz="0" w:space="0" w:color="000000"/>
          <w:left w:val="none" w:sz="0" w:space="0" w:color="000000"/>
          <w:bottom w:val="none" w:sz="0" w:space="0" w:color="000000"/>
          <w:right w:val="none" w:sz="0" w:space="0" w:color="000000"/>
          <w:between w:val="none" w:sz="0" w:space="0" w:color="000000"/>
        </w:pBdr>
        <w:jc w:val="center"/>
        <w:rPr>
          <w:rFonts w:ascii="Times New Roman" w:eastAsia="Times New Roman" w:hAnsi="Times New Roman" w:cs="Times New Roman"/>
          <w:b/>
          <w:color w:val="000000"/>
        </w:rPr>
      </w:pPr>
      <w:r>
        <w:rPr>
          <w:rFonts w:ascii="Times New Roman" w:eastAsia="Times New Roman" w:hAnsi="Times New Roman" w:cs="Times New Roman"/>
          <w:b/>
        </w:rPr>
        <w:br/>
      </w:r>
      <w:r>
        <w:rPr>
          <w:rFonts w:ascii="Times New Roman" w:eastAsia="Times New Roman" w:hAnsi="Times New Roman" w:cs="Times New Roman"/>
          <w:b/>
          <w:color w:val="000000"/>
        </w:rPr>
        <w:t>MINISTÉRIO DA EDUCAÇÃO (MEC)</w:t>
      </w:r>
    </w:p>
    <w:p w:rsidR="008C7EA8" w:rsidRDefault="007C04D2">
      <w:pPr>
        <w:pBdr>
          <w:top w:val="none" w:sz="0" w:space="0" w:color="000000"/>
          <w:left w:val="none" w:sz="0" w:space="0" w:color="000000"/>
          <w:bottom w:val="none" w:sz="0" w:space="0" w:color="000000"/>
          <w:right w:val="none" w:sz="0" w:space="0" w:color="000000"/>
          <w:between w:val="none" w:sz="0" w:space="0" w:color="000000"/>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UNIVERSIDADE FEDERAL DA PARAÍBA (UFPB)</w:t>
      </w:r>
    </w:p>
    <w:p w:rsidR="008C7EA8" w:rsidRDefault="007C04D2">
      <w:pPr>
        <w:pBdr>
          <w:top w:val="none" w:sz="0" w:space="0" w:color="000000"/>
          <w:left w:val="none" w:sz="0" w:space="0" w:color="000000"/>
          <w:bottom w:val="none" w:sz="0" w:space="0" w:color="000000"/>
          <w:right w:val="none" w:sz="0" w:space="0" w:color="000000"/>
          <w:between w:val="none" w:sz="0" w:space="0" w:color="000000"/>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SUPERINTENDÊNCIA DE ORÇAMENTO E FINANÇAS (SOF)</w:t>
      </w:r>
    </w:p>
    <w:p w:rsidR="008C7EA8" w:rsidRDefault="007C04D2">
      <w:pPr>
        <w:pBdr>
          <w:top w:val="none" w:sz="0" w:space="0" w:color="000000"/>
          <w:left w:val="none" w:sz="0" w:space="0" w:color="000000"/>
          <w:bottom w:val="none" w:sz="0" w:space="0" w:color="000000"/>
          <w:right w:val="none" w:sz="0" w:space="0" w:color="000000"/>
          <w:between w:val="none" w:sz="0" w:space="0" w:color="000000"/>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CO</w:t>
      </w:r>
      <w:r>
        <w:rPr>
          <w:rFonts w:ascii="Times New Roman" w:eastAsia="Times New Roman" w:hAnsi="Times New Roman" w:cs="Times New Roman"/>
          <w:b/>
        </w:rPr>
        <w:t>ORDENAÇÃO</w:t>
      </w:r>
      <w:r>
        <w:rPr>
          <w:rFonts w:ascii="Times New Roman" w:eastAsia="Times New Roman" w:hAnsi="Times New Roman" w:cs="Times New Roman"/>
          <w:b/>
          <w:color w:val="000000"/>
        </w:rPr>
        <w:t xml:space="preserve"> DE LICITAÇÕES E CONTRATOS (CLC)</w:t>
      </w:r>
    </w:p>
    <w:p w:rsidR="008C7EA8" w:rsidRDefault="008C7EA8">
      <w:pPr>
        <w:spacing w:line="360" w:lineRule="auto"/>
        <w:jc w:val="center"/>
        <w:rPr>
          <w:rFonts w:ascii="Times New Roman" w:eastAsia="Times New Roman" w:hAnsi="Times New Roman" w:cs="Times New Roman"/>
          <w:b/>
        </w:rPr>
      </w:pPr>
    </w:p>
    <w:p w:rsidR="008C7EA8" w:rsidRDefault="008C7EA8">
      <w:pPr>
        <w:spacing w:line="360" w:lineRule="auto"/>
        <w:jc w:val="center"/>
        <w:rPr>
          <w:rFonts w:ascii="Times New Roman" w:eastAsia="Times New Roman" w:hAnsi="Times New Roman" w:cs="Times New Roman"/>
          <w:b/>
        </w:rPr>
      </w:pPr>
    </w:p>
    <w:p w:rsidR="008C7EA8" w:rsidRDefault="007C04D2">
      <w:pPr>
        <w:jc w:val="center"/>
        <w:rPr>
          <w:rFonts w:ascii="Times New Roman" w:eastAsia="Times New Roman" w:hAnsi="Times New Roman" w:cs="Times New Roman"/>
          <w:b/>
          <w:u w:val="single"/>
        </w:rPr>
      </w:pPr>
      <w:r>
        <w:rPr>
          <w:rFonts w:ascii="Times New Roman" w:eastAsia="Times New Roman" w:hAnsi="Times New Roman" w:cs="Times New Roman"/>
          <w:b/>
          <w:u w:val="single"/>
        </w:rPr>
        <w:t xml:space="preserve">EDITAL DE LICITAÇÃO </w:t>
      </w:r>
    </w:p>
    <w:p w:rsidR="008C7EA8" w:rsidRDefault="007C04D2">
      <w:pPr>
        <w:tabs>
          <w:tab w:val="left" w:pos="1418"/>
        </w:tabs>
        <w:jc w:val="center"/>
        <w:rPr>
          <w:rFonts w:ascii="Times New Roman" w:eastAsia="Times New Roman" w:hAnsi="Times New Roman" w:cs="Times New Roman"/>
          <w:b/>
          <w:u w:val="single"/>
        </w:rPr>
      </w:pPr>
      <w:r>
        <w:rPr>
          <w:rFonts w:ascii="Times New Roman" w:eastAsia="Times New Roman" w:hAnsi="Times New Roman" w:cs="Times New Roman"/>
          <w:b/>
          <w:u w:val="single"/>
        </w:rPr>
        <w:t>PREGÃO ELETRÔNICO SRP UFPB/SOF/CLC Nº 90</w:t>
      </w:r>
      <w:r>
        <w:rPr>
          <w:rFonts w:ascii="Times New Roman" w:eastAsia="Times New Roman" w:hAnsi="Times New Roman" w:cs="Times New Roman"/>
          <w:b/>
          <w:highlight w:val="white"/>
          <w:u w:val="single"/>
        </w:rPr>
        <w:t>006</w:t>
      </w:r>
      <w:r>
        <w:rPr>
          <w:rFonts w:ascii="Times New Roman" w:eastAsia="Times New Roman" w:hAnsi="Times New Roman" w:cs="Times New Roman"/>
          <w:b/>
          <w:u w:val="single"/>
        </w:rPr>
        <w:t>/2025</w:t>
      </w:r>
    </w:p>
    <w:p w:rsidR="008C7EA8" w:rsidRDefault="007C04D2">
      <w:pPr>
        <w:tabs>
          <w:tab w:val="left" w:pos="1418"/>
        </w:tabs>
        <w:jc w:val="center"/>
        <w:rPr>
          <w:rFonts w:ascii="Times New Roman" w:eastAsia="Times New Roman" w:hAnsi="Times New Roman" w:cs="Times New Roman"/>
          <w:b/>
          <w:u w:val="single"/>
        </w:rPr>
      </w:pPr>
      <w:r>
        <w:rPr>
          <w:rFonts w:ascii="Times New Roman" w:eastAsia="Times New Roman" w:hAnsi="Times New Roman" w:cs="Times New Roman"/>
          <w:b/>
          <w:u w:val="single"/>
        </w:rPr>
        <w:t>PROCESSO ADMINISTRATIVO Nº 23074.067755/2025-90</w:t>
      </w:r>
      <w:r>
        <w:rPr>
          <w:rFonts w:ascii="Times New Roman" w:eastAsia="Times New Roman" w:hAnsi="Times New Roman" w:cs="Times New Roman"/>
          <w:b/>
          <w:u w:val="single"/>
        </w:rPr>
        <w:br/>
      </w:r>
    </w:p>
    <w:p w:rsidR="008C7EA8" w:rsidRDefault="008C7EA8">
      <w:pPr>
        <w:tabs>
          <w:tab w:val="left" w:pos="1418"/>
        </w:tabs>
        <w:jc w:val="center"/>
        <w:rPr>
          <w:rFonts w:ascii="Times New Roman" w:eastAsia="Times New Roman" w:hAnsi="Times New Roman" w:cs="Times New Roman"/>
          <w:b/>
          <w:u w:val="single"/>
        </w:rPr>
      </w:pPr>
    </w:p>
    <w:tbl>
      <w:tblPr>
        <w:tblStyle w:val="a0"/>
        <w:tblW w:w="9180"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90"/>
        <w:gridCol w:w="2170"/>
        <w:gridCol w:w="2420"/>
      </w:tblGrid>
      <w:tr w:rsidR="008C7EA8">
        <w:trPr>
          <w:trHeight w:val="360"/>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rsidR="008C7EA8" w:rsidRDefault="007C04D2">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RESUMO</w:t>
            </w:r>
          </w:p>
        </w:tc>
      </w:tr>
      <w:tr w:rsidR="008C7EA8">
        <w:trPr>
          <w:trHeight w:val="333"/>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8C7EA8" w:rsidRDefault="007C04D2">
            <w:pPr>
              <w:jc w:val="center"/>
              <w:rPr>
                <w:rFonts w:ascii="Times New Roman" w:eastAsia="Times New Roman" w:hAnsi="Times New Roman" w:cs="Times New Roman"/>
                <w:sz w:val="18"/>
                <w:szCs w:val="18"/>
              </w:rPr>
            </w:pPr>
            <w:r>
              <w:rPr>
                <w:rFonts w:ascii="Times New Roman" w:eastAsia="Times New Roman" w:hAnsi="Times New Roman" w:cs="Times New Roman"/>
                <w:b/>
                <w:color w:val="000000"/>
                <w:sz w:val="18"/>
                <w:szCs w:val="18"/>
              </w:rPr>
              <w:t>Data de abertura</w:t>
            </w:r>
            <w:r>
              <w:rPr>
                <w:rFonts w:ascii="Times New Roman" w:eastAsia="Times New Roman" w:hAnsi="Times New Roman" w:cs="Times New Roman"/>
                <w:b/>
                <w:color w:val="000000"/>
                <w:sz w:val="18"/>
                <w:szCs w:val="18"/>
                <w:highlight w:val="white"/>
              </w:rPr>
              <w:t xml:space="preserve">: </w:t>
            </w:r>
            <w:r>
              <w:rPr>
                <w:rFonts w:ascii="Times New Roman" w:eastAsia="Times New Roman" w:hAnsi="Times New Roman" w:cs="Times New Roman"/>
                <w:b/>
                <w:sz w:val="18"/>
                <w:szCs w:val="18"/>
                <w:highlight w:val="white"/>
              </w:rPr>
              <w:t>10/09/2025</w:t>
            </w:r>
            <w:r>
              <w:rPr>
                <w:rFonts w:ascii="Times New Roman" w:eastAsia="Times New Roman" w:hAnsi="Times New Roman" w:cs="Times New Roman"/>
                <w:b/>
                <w:color w:val="000000"/>
                <w:sz w:val="18"/>
                <w:szCs w:val="18"/>
                <w:highlight w:val="white"/>
              </w:rPr>
              <w:t xml:space="preserve"> às 0</w:t>
            </w:r>
            <w:r>
              <w:rPr>
                <w:rFonts w:ascii="Times New Roman" w:eastAsia="Times New Roman" w:hAnsi="Times New Roman" w:cs="Times New Roman"/>
                <w:b/>
                <w:sz w:val="18"/>
                <w:szCs w:val="18"/>
                <w:highlight w:val="white"/>
              </w:rPr>
              <w:t>9</w:t>
            </w:r>
            <w:r>
              <w:rPr>
                <w:rFonts w:ascii="Times New Roman" w:eastAsia="Times New Roman" w:hAnsi="Times New Roman" w:cs="Times New Roman"/>
                <w:b/>
                <w:color w:val="000000"/>
                <w:sz w:val="18"/>
                <w:szCs w:val="18"/>
                <w:highlight w:val="white"/>
              </w:rPr>
              <w:t>h</w:t>
            </w:r>
            <w:r>
              <w:rPr>
                <w:rFonts w:ascii="Times New Roman" w:eastAsia="Times New Roman" w:hAnsi="Times New Roman" w:cs="Times New Roman"/>
                <w:color w:val="000000"/>
                <w:sz w:val="18"/>
                <w:szCs w:val="18"/>
                <w:highlight w:val="white"/>
              </w:rPr>
              <w:t xml:space="preserve">, </w:t>
            </w:r>
            <w:r>
              <w:rPr>
                <w:rFonts w:ascii="Times New Roman" w:eastAsia="Times New Roman" w:hAnsi="Times New Roman" w:cs="Times New Roman"/>
                <w:color w:val="000000"/>
                <w:sz w:val="18"/>
                <w:szCs w:val="18"/>
              </w:rPr>
              <w:t xml:space="preserve">horário de Brasília-DF, no sítio </w:t>
            </w:r>
            <w:hyperlink r:id="rId10">
              <w:r>
                <w:rPr>
                  <w:rFonts w:ascii="Times New Roman" w:eastAsia="Times New Roman" w:hAnsi="Times New Roman" w:cs="Times New Roman"/>
                  <w:b/>
                  <w:i/>
                  <w:color w:val="1155CC"/>
                  <w:sz w:val="18"/>
                  <w:szCs w:val="18"/>
                  <w:u w:val="single"/>
                </w:rPr>
                <w:t>https://www.gov.br/compras/pt-br</w:t>
              </w:r>
            </w:hyperlink>
            <w:r>
              <w:rPr>
                <w:rFonts w:ascii="Times New Roman" w:eastAsia="Times New Roman" w:hAnsi="Times New Roman" w:cs="Times New Roman"/>
                <w:i/>
                <w:color w:val="000000"/>
                <w:sz w:val="18"/>
                <w:szCs w:val="18"/>
              </w:rPr>
              <w:t xml:space="preserve"> .</w:t>
            </w:r>
          </w:p>
        </w:tc>
      </w:tr>
      <w:tr w:rsidR="008C7EA8">
        <w:trPr>
          <w:trHeight w:val="557"/>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8C7EA8" w:rsidRDefault="007C04D2">
            <w:pPr>
              <w:jc w:val="both"/>
              <w:rPr>
                <w:rFonts w:ascii="Times New Roman" w:eastAsia="Times New Roman" w:hAnsi="Times New Roman" w:cs="Times New Roman"/>
                <w:b/>
                <w:sz w:val="18"/>
                <w:szCs w:val="18"/>
                <w:highlight w:val="yellow"/>
              </w:rPr>
            </w:pPr>
            <w:r>
              <w:rPr>
                <w:rFonts w:ascii="Times New Roman" w:eastAsia="Times New Roman" w:hAnsi="Times New Roman" w:cs="Times New Roman"/>
                <w:b/>
                <w:sz w:val="18"/>
                <w:szCs w:val="18"/>
              </w:rPr>
              <w:t>Objeto: Registro de preços para aquisição de materiais e equipamentos essenciais para a prestação de serviços realizados através da Superintendência de Serviços Gerais (SSG) da Universidade Federal da Paraíba (UFPB), conforme condições, quantidades e exigê</w:t>
            </w:r>
            <w:r>
              <w:rPr>
                <w:rFonts w:ascii="Times New Roman" w:eastAsia="Times New Roman" w:hAnsi="Times New Roman" w:cs="Times New Roman"/>
                <w:b/>
                <w:sz w:val="18"/>
                <w:szCs w:val="18"/>
              </w:rPr>
              <w:t>ncias estabelecidas neste Edital e em todos os seus anexos.</w:t>
            </w:r>
          </w:p>
        </w:tc>
      </w:tr>
      <w:tr w:rsidR="008C7EA8">
        <w:trPr>
          <w:trHeight w:val="642"/>
        </w:trPr>
        <w:tc>
          <w:tcPr>
            <w:tcW w:w="4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C7EA8" w:rsidRDefault="007C04D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Valor total estimado:</w:t>
            </w:r>
          </w:p>
          <w:p w:rsidR="008C7EA8" w:rsidRDefault="007C04D2">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Licitação do tipo menor preço por item.</w:t>
            </w:r>
          </w:p>
          <w:p w:rsidR="008C7EA8" w:rsidRDefault="007C04D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R$ 212.377,56 (Duzentos e doze mil, trezentos e setenta e sete reais e cinquenta e seis centavos).</w:t>
            </w:r>
          </w:p>
        </w:tc>
        <w:tc>
          <w:tcPr>
            <w:tcW w:w="217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8C7EA8" w:rsidRDefault="007C04D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Exclusiva ME/EPP:</w:t>
            </w:r>
          </w:p>
          <w:p w:rsidR="008C7EA8" w:rsidRDefault="007C04D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Sim (X) Não (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8C7EA8" w:rsidRDefault="007C04D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Reserva de quota ME/EPP:</w:t>
            </w:r>
          </w:p>
          <w:p w:rsidR="008C7EA8" w:rsidRDefault="007C04D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Sim (X) Não (   )</w:t>
            </w:r>
          </w:p>
        </w:tc>
      </w:tr>
      <w:tr w:rsidR="008C7EA8">
        <w:trPr>
          <w:trHeight w:val="782"/>
        </w:trPr>
        <w:tc>
          <w:tcPr>
            <w:tcW w:w="459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8C7EA8" w:rsidRDefault="007C04D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Prazo para envio da proposta/documentação:</w:t>
            </w:r>
          </w:p>
          <w:p w:rsidR="008C7EA8" w:rsidRDefault="007C04D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Até 24 (vinte e quatro) horas após a convocação realizada pelo Pregoeiro.</w:t>
            </w:r>
          </w:p>
          <w:p w:rsidR="008C7EA8" w:rsidRDefault="007C04D2">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Referência: Cláusulas 7.26.5 e 9.13.1 deste Edital.</w:t>
            </w:r>
          </w:p>
        </w:tc>
        <w:tc>
          <w:tcPr>
            <w:tcW w:w="217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8C7EA8" w:rsidRDefault="007C04D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Decreto 7.174/2010:</w:t>
            </w:r>
          </w:p>
          <w:p w:rsidR="008C7EA8" w:rsidRDefault="007C04D2">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Sim (</w:t>
            </w:r>
            <w:r>
              <w:rPr>
                <w:rFonts w:ascii="Times New Roman" w:eastAsia="Times New Roman" w:hAnsi="Times New Roman" w:cs="Times New Roman"/>
                <w:sz w:val="18"/>
                <w:szCs w:val="18"/>
              </w:rPr>
              <w:t xml:space="preserve">   ) Não (X)</w:t>
            </w:r>
          </w:p>
        </w:tc>
        <w:tc>
          <w:tcPr>
            <w:tcW w:w="242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8C7EA8" w:rsidRDefault="007C04D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Margem de preferência:</w:t>
            </w:r>
          </w:p>
          <w:p w:rsidR="008C7EA8" w:rsidRDefault="007C04D2">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Sim (   ) Não (X)</w:t>
            </w:r>
          </w:p>
        </w:tc>
      </w:tr>
      <w:tr w:rsidR="008C7EA8">
        <w:trPr>
          <w:trHeight w:val="641"/>
        </w:trPr>
        <w:tc>
          <w:tcPr>
            <w:tcW w:w="459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8C7EA8" w:rsidRDefault="007C04D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Pedido de Amostra:</w:t>
            </w:r>
          </w:p>
          <w:p w:rsidR="008C7EA8" w:rsidRDefault="007C04D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Sim </w:t>
            </w:r>
            <w:proofErr w:type="gramStart"/>
            <w:r>
              <w:rPr>
                <w:rFonts w:ascii="Times New Roman" w:eastAsia="Times New Roman" w:hAnsi="Times New Roman" w:cs="Times New Roman"/>
                <w:sz w:val="18"/>
                <w:szCs w:val="18"/>
              </w:rPr>
              <w:t xml:space="preserve">(  </w:t>
            </w:r>
            <w:proofErr w:type="gramEnd"/>
            <w:r>
              <w:rPr>
                <w:rFonts w:ascii="Times New Roman" w:eastAsia="Times New Roman" w:hAnsi="Times New Roman" w:cs="Times New Roman"/>
                <w:sz w:val="18"/>
                <w:szCs w:val="18"/>
              </w:rPr>
              <w:t xml:space="preserve"> ) Não (X)</w:t>
            </w:r>
          </w:p>
          <w:p w:rsidR="008C7EA8" w:rsidRDefault="007C04D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Referência: Não se aplica.</w:t>
            </w:r>
          </w:p>
        </w:tc>
        <w:tc>
          <w:tcPr>
            <w:tcW w:w="45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8C7EA8" w:rsidRDefault="007C04D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Vistoria:</w:t>
            </w:r>
          </w:p>
          <w:p w:rsidR="008C7EA8" w:rsidRDefault="007C04D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Obrigatória </w:t>
            </w:r>
            <w:proofErr w:type="gramStart"/>
            <w:r>
              <w:rPr>
                <w:rFonts w:ascii="Times New Roman" w:eastAsia="Times New Roman" w:hAnsi="Times New Roman" w:cs="Times New Roman"/>
                <w:sz w:val="18"/>
                <w:szCs w:val="18"/>
              </w:rPr>
              <w:t xml:space="preserve">(  </w:t>
            </w:r>
            <w:proofErr w:type="gramEnd"/>
            <w:r>
              <w:rPr>
                <w:rFonts w:ascii="Times New Roman" w:eastAsia="Times New Roman" w:hAnsi="Times New Roman" w:cs="Times New Roman"/>
                <w:sz w:val="18"/>
                <w:szCs w:val="18"/>
              </w:rPr>
              <w:t xml:space="preserve"> ) Facultativa (X) Não se aplica (   )</w:t>
            </w:r>
          </w:p>
          <w:p w:rsidR="008C7EA8" w:rsidRDefault="007C04D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Referência: Cláusula 9.10 a 9.10.2 deste Edital.</w:t>
            </w:r>
          </w:p>
        </w:tc>
      </w:tr>
      <w:tr w:rsidR="008C7EA8">
        <w:trPr>
          <w:trHeight w:val="692"/>
        </w:trPr>
        <w:tc>
          <w:tcPr>
            <w:tcW w:w="459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8C7EA8" w:rsidRDefault="007C04D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Pedidos de esclarecimentos:</w:t>
            </w:r>
          </w:p>
          <w:p w:rsidR="008C7EA8" w:rsidRDefault="007C04D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Até </w:t>
            </w:r>
            <w:r>
              <w:rPr>
                <w:rFonts w:ascii="Times New Roman" w:eastAsia="Times New Roman" w:hAnsi="Times New Roman" w:cs="Times New Roman"/>
                <w:sz w:val="18"/>
                <w:szCs w:val="18"/>
                <w:highlight w:val="white"/>
              </w:rPr>
              <w:t>05/09/2</w:t>
            </w:r>
            <w:r>
              <w:rPr>
                <w:rFonts w:ascii="Times New Roman" w:eastAsia="Times New Roman" w:hAnsi="Times New Roman" w:cs="Times New Roman"/>
                <w:sz w:val="18"/>
                <w:szCs w:val="18"/>
              </w:rPr>
              <w:t>025 para o endereço eletrônico</w:t>
            </w:r>
          </w:p>
          <w:bookmarkStart w:id="0" w:name="_GoBack"/>
          <w:bookmarkEnd w:id="0"/>
          <w:p w:rsidR="008C7EA8" w:rsidRDefault="007C04D2">
            <w:pPr>
              <w:jc w:val="center"/>
              <w:rPr>
                <w:rFonts w:ascii="Times New Roman" w:eastAsia="Times New Roman" w:hAnsi="Times New Roman" w:cs="Times New Roman"/>
                <w:b/>
                <w:i/>
                <w:sz w:val="18"/>
                <w:szCs w:val="18"/>
              </w:rPr>
            </w:pPr>
            <w:r>
              <w:fldChar w:fldCharType="begin"/>
            </w:r>
            <w:r>
              <w:instrText xml:space="preserve"> HYPERLINK "mailto:licitacoes@sof.ufpb.br" \h </w:instrText>
            </w:r>
            <w:r>
              <w:fldChar w:fldCharType="separate"/>
            </w:r>
            <w:r>
              <w:rPr>
                <w:rFonts w:ascii="Times New Roman" w:eastAsia="Times New Roman" w:hAnsi="Times New Roman" w:cs="Times New Roman"/>
                <w:b/>
                <w:i/>
                <w:color w:val="1155CC"/>
                <w:sz w:val="18"/>
                <w:szCs w:val="18"/>
                <w:u w:val="single"/>
              </w:rPr>
              <w:t>licitacoes@sof.ufpb.br</w:t>
            </w:r>
            <w:r>
              <w:rPr>
                <w:rFonts w:ascii="Times New Roman" w:eastAsia="Times New Roman" w:hAnsi="Times New Roman" w:cs="Times New Roman"/>
                <w:b/>
                <w:i/>
                <w:color w:val="1155CC"/>
                <w:sz w:val="18"/>
                <w:szCs w:val="18"/>
                <w:u w:val="single"/>
              </w:rPr>
              <w:fldChar w:fldCharType="end"/>
            </w:r>
          </w:p>
        </w:tc>
        <w:tc>
          <w:tcPr>
            <w:tcW w:w="45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8C7EA8" w:rsidRDefault="007C04D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Impugnações:</w:t>
            </w:r>
          </w:p>
          <w:p w:rsidR="008C7EA8" w:rsidRDefault="007C04D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At</w:t>
            </w:r>
            <w:r>
              <w:rPr>
                <w:rFonts w:ascii="Times New Roman" w:eastAsia="Times New Roman" w:hAnsi="Times New Roman" w:cs="Times New Roman"/>
                <w:sz w:val="18"/>
                <w:szCs w:val="18"/>
                <w:highlight w:val="white"/>
              </w:rPr>
              <w:t>é 05/09/2</w:t>
            </w:r>
            <w:r>
              <w:rPr>
                <w:rFonts w:ascii="Times New Roman" w:eastAsia="Times New Roman" w:hAnsi="Times New Roman" w:cs="Times New Roman"/>
                <w:sz w:val="18"/>
                <w:szCs w:val="18"/>
              </w:rPr>
              <w:t>025 para o endereço eletrônico</w:t>
            </w:r>
          </w:p>
          <w:p w:rsidR="008C7EA8" w:rsidRDefault="007C04D2">
            <w:pPr>
              <w:jc w:val="center"/>
              <w:rPr>
                <w:rFonts w:ascii="Times New Roman" w:eastAsia="Times New Roman" w:hAnsi="Times New Roman" w:cs="Times New Roman"/>
                <w:b/>
                <w:i/>
                <w:sz w:val="18"/>
                <w:szCs w:val="18"/>
              </w:rPr>
            </w:pPr>
            <w:hyperlink r:id="rId11">
              <w:r>
                <w:rPr>
                  <w:rFonts w:ascii="Times New Roman" w:eastAsia="Times New Roman" w:hAnsi="Times New Roman" w:cs="Times New Roman"/>
                  <w:b/>
                  <w:i/>
                  <w:color w:val="1155CC"/>
                  <w:sz w:val="18"/>
                  <w:szCs w:val="18"/>
                  <w:u w:val="single"/>
                </w:rPr>
                <w:t>licitacoes@sof.ufpb.br</w:t>
              </w:r>
            </w:hyperlink>
          </w:p>
        </w:tc>
      </w:tr>
      <w:tr w:rsidR="008C7EA8">
        <w:trPr>
          <w:trHeight w:val="412"/>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rsidR="008C7EA8" w:rsidRDefault="007C04D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Documentos de Habilitação (Referência: Cláusulas 5 e 8 deste Edital)</w:t>
            </w:r>
          </w:p>
        </w:tc>
      </w:tr>
      <w:tr w:rsidR="008C7EA8">
        <w:tc>
          <w:tcPr>
            <w:tcW w:w="459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8C7EA8" w:rsidRDefault="007C04D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Requisitos básicos (arts. 62 a 70 da Lei nº 14.133/2021)</w:t>
            </w:r>
          </w:p>
          <w:p w:rsidR="008C7EA8" w:rsidRDefault="007C04D2">
            <w:pPr>
              <w:ind w:left="142"/>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1. Proposta e especificação do serviço detalhado; </w:t>
            </w:r>
          </w:p>
          <w:p w:rsidR="008C7EA8" w:rsidRDefault="007C04D2">
            <w:pPr>
              <w:ind w:left="142"/>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2. Documentos para fins de habilitação jurídica, técnica, fiscal, social, trabalhista e econômico-financeira;</w:t>
            </w:r>
          </w:p>
          <w:p w:rsidR="008C7EA8" w:rsidRDefault="007C04D2">
            <w:pPr>
              <w:ind w:left="142"/>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3. SICAF ou documentos equivalentes</w:t>
            </w:r>
          </w:p>
        </w:tc>
        <w:tc>
          <w:tcPr>
            <w:tcW w:w="45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8C7EA8" w:rsidRDefault="007C04D2">
            <w:pPr>
              <w:ind w:left="142"/>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Requisitos específicos (Cláusula 5.18 deste Edital)</w:t>
            </w:r>
          </w:p>
          <w:p w:rsidR="008C7EA8" w:rsidRDefault="007C04D2">
            <w:pPr>
              <w:numPr>
                <w:ilvl w:val="0"/>
                <w:numId w:val="1"/>
              </w:num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Anexo 02 – Declaração de Compromisso com a Sustentabilidade e às Normas de Proteção ao Meio Ambiente. </w:t>
            </w:r>
          </w:p>
          <w:p w:rsidR="008C7EA8" w:rsidRDefault="007C04D2">
            <w:pPr>
              <w:numPr>
                <w:ilvl w:val="0"/>
                <w:numId w:val="1"/>
              </w:num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Anexo 03 – Declaração de Vedação ao Nepotismo.</w:t>
            </w:r>
          </w:p>
        </w:tc>
      </w:tr>
      <w:tr w:rsidR="008C7EA8">
        <w:trPr>
          <w:trHeight w:val="449"/>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8C7EA8" w:rsidRDefault="007C04D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Adjudicação:</w:t>
            </w:r>
            <w:r>
              <w:rPr>
                <w:rFonts w:ascii="Times New Roman" w:eastAsia="Times New Roman" w:hAnsi="Times New Roman" w:cs="Times New Roman"/>
                <w:sz w:val="18"/>
                <w:szCs w:val="18"/>
              </w:rPr>
              <w:t xml:space="preserve"> </w:t>
            </w:r>
            <w:proofErr w:type="gramStart"/>
            <w:r>
              <w:rPr>
                <w:rFonts w:ascii="Times New Roman" w:eastAsia="Times New Roman" w:hAnsi="Times New Roman" w:cs="Times New Roman"/>
                <w:sz w:val="18"/>
                <w:szCs w:val="18"/>
              </w:rPr>
              <w:t>Vencedor(</w:t>
            </w:r>
            <w:proofErr w:type="gramEnd"/>
            <w:r>
              <w:rPr>
                <w:rFonts w:ascii="Times New Roman" w:eastAsia="Times New Roman" w:hAnsi="Times New Roman" w:cs="Times New Roman"/>
                <w:sz w:val="18"/>
                <w:szCs w:val="18"/>
              </w:rPr>
              <w:t>es) dos itens desta licitação.</w:t>
            </w:r>
          </w:p>
          <w:p w:rsidR="008C7EA8" w:rsidRDefault="007C04D2">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Local de Entrega/Execução:</w:t>
            </w:r>
            <w:r>
              <w:rPr>
                <w:rFonts w:ascii="Times New Roman" w:eastAsia="Times New Roman" w:hAnsi="Times New Roman" w:cs="Times New Roman"/>
                <w:sz w:val="18"/>
                <w:szCs w:val="18"/>
              </w:rPr>
              <w:t xml:space="preserve"> </w:t>
            </w:r>
            <w:r>
              <w:rPr>
                <w:rFonts w:ascii="Times New Roman" w:eastAsia="Times New Roman" w:hAnsi="Times New Roman" w:cs="Times New Roman"/>
                <w:i/>
                <w:sz w:val="18"/>
                <w:szCs w:val="18"/>
              </w:rPr>
              <w:t>Campus</w:t>
            </w:r>
            <w:r>
              <w:rPr>
                <w:rFonts w:ascii="Times New Roman" w:eastAsia="Times New Roman" w:hAnsi="Times New Roman" w:cs="Times New Roman"/>
                <w:sz w:val="18"/>
                <w:szCs w:val="18"/>
              </w:rPr>
              <w:t xml:space="preserve"> I da UFPB.</w:t>
            </w:r>
          </w:p>
        </w:tc>
      </w:tr>
      <w:tr w:rsidR="008C7EA8">
        <w:tc>
          <w:tcPr>
            <w:tcW w:w="918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8C7EA8" w:rsidRDefault="007C04D2">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Acompanhe as sessões públicas dos Pregões da SOF-CLC pelo endereço </w:t>
            </w:r>
            <w:hyperlink r:id="rId12">
              <w:r>
                <w:rPr>
                  <w:rFonts w:ascii="Times New Roman" w:eastAsia="Times New Roman" w:hAnsi="Times New Roman" w:cs="Times New Roman"/>
                  <w:b/>
                  <w:i/>
                  <w:color w:val="1155CC"/>
                  <w:sz w:val="18"/>
                  <w:szCs w:val="18"/>
                  <w:u w:val="single"/>
                </w:rPr>
                <w:t>https://www.gov.br/compras/pt-br</w:t>
              </w:r>
            </w:hyperlink>
            <w:r>
              <w:rPr>
                <w:rFonts w:ascii="Times New Roman" w:eastAsia="Times New Roman" w:hAnsi="Times New Roman" w:cs="Times New Roman"/>
                <w:b/>
                <w:i/>
                <w:color w:val="000000"/>
                <w:sz w:val="18"/>
                <w:szCs w:val="18"/>
              </w:rPr>
              <w:t xml:space="preserve"> </w:t>
            </w:r>
            <w:r>
              <w:rPr>
                <w:rFonts w:ascii="Times New Roman" w:eastAsia="Times New Roman" w:hAnsi="Times New Roman" w:cs="Times New Roman"/>
                <w:color w:val="000000"/>
                <w:sz w:val="18"/>
                <w:szCs w:val="18"/>
              </w:rPr>
              <w:t xml:space="preserve">selecionando as opções </w:t>
            </w:r>
            <w:r>
              <w:rPr>
                <w:rFonts w:ascii="Times New Roman" w:eastAsia="Times New Roman" w:hAnsi="Times New Roman" w:cs="Times New Roman"/>
                <w:b/>
                <w:color w:val="000000"/>
                <w:sz w:val="18"/>
                <w:szCs w:val="18"/>
              </w:rPr>
              <w:t>Consultas &gt; Pregões &gt; Em andamento &gt; Cód. UASG “153066”</w:t>
            </w:r>
            <w:r>
              <w:rPr>
                <w:rFonts w:ascii="Times New Roman" w:eastAsia="Times New Roman" w:hAnsi="Times New Roman" w:cs="Times New Roman"/>
                <w:color w:val="000000"/>
                <w:sz w:val="18"/>
                <w:szCs w:val="18"/>
              </w:rPr>
              <w:t xml:space="preserve">. O Edital e seus Anexos estão disponíveis para </w:t>
            </w:r>
            <w:r>
              <w:rPr>
                <w:rFonts w:ascii="Times New Roman" w:eastAsia="Times New Roman" w:hAnsi="Times New Roman" w:cs="Times New Roman"/>
                <w:i/>
                <w:color w:val="000000"/>
                <w:sz w:val="18"/>
                <w:szCs w:val="18"/>
              </w:rPr>
              <w:t>download</w:t>
            </w:r>
            <w:r>
              <w:rPr>
                <w:rFonts w:ascii="Times New Roman" w:eastAsia="Times New Roman" w:hAnsi="Times New Roman" w:cs="Times New Roman"/>
                <w:color w:val="000000"/>
                <w:sz w:val="18"/>
                <w:szCs w:val="18"/>
              </w:rPr>
              <w:t xml:space="preserve"> no Portal de Compras do Governo Federal, bem como no endereço eletrônico</w:t>
            </w:r>
            <w:r>
              <w:rPr>
                <w:rFonts w:ascii="Times New Roman" w:eastAsia="Times New Roman" w:hAnsi="Times New Roman" w:cs="Times New Roman"/>
                <w:i/>
                <w:sz w:val="18"/>
                <w:szCs w:val="18"/>
              </w:rPr>
              <w:t xml:space="preserve"> </w:t>
            </w:r>
            <w:r w:rsidR="0039755F" w:rsidRPr="0039755F">
              <w:rPr>
                <w:rFonts w:ascii="Times New Roman" w:eastAsia="Times New Roman" w:hAnsi="Times New Roman" w:cs="Times New Roman"/>
                <w:b/>
                <w:i/>
                <w:color w:val="0070C0"/>
                <w:sz w:val="18"/>
                <w:szCs w:val="18"/>
              </w:rPr>
              <w:t>https://www.ufpb.br/sof/servicos/contratacoes-em-andamento/</w:t>
            </w:r>
            <w:r w:rsidR="0039755F">
              <w:rPr>
                <w:rFonts w:ascii="Times New Roman" w:eastAsia="Times New Roman" w:hAnsi="Times New Roman" w:cs="Times New Roman"/>
                <w:b/>
                <w:i/>
                <w:color w:val="0070C0"/>
                <w:sz w:val="18"/>
                <w:szCs w:val="18"/>
              </w:rPr>
              <w:t>.</w:t>
            </w:r>
          </w:p>
        </w:tc>
      </w:tr>
      <w:tr w:rsidR="008C7EA8">
        <w:trPr>
          <w:trHeight w:val="1149"/>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FCE5CD"/>
            <w:tcMar>
              <w:top w:w="0" w:type="dxa"/>
              <w:left w:w="115" w:type="dxa"/>
              <w:bottom w:w="0" w:type="dxa"/>
              <w:right w:w="115" w:type="dxa"/>
            </w:tcMar>
            <w:vAlign w:val="center"/>
          </w:tcPr>
          <w:p w:rsidR="008C7EA8" w:rsidRDefault="007C04D2">
            <w:pPr>
              <w:jc w:val="center"/>
              <w:rPr>
                <w:rFonts w:ascii="Times New Roman" w:eastAsia="Times New Roman" w:hAnsi="Times New Roman" w:cs="Times New Roman"/>
                <w:b/>
                <w:sz w:val="18"/>
                <w:szCs w:val="18"/>
                <w:u w:val="single"/>
              </w:rPr>
            </w:pPr>
            <w:r>
              <w:rPr>
                <w:rFonts w:ascii="Times New Roman" w:eastAsia="Times New Roman" w:hAnsi="Times New Roman" w:cs="Times New Roman"/>
                <w:b/>
                <w:sz w:val="18"/>
                <w:szCs w:val="18"/>
                <w:u w:val="single"/>
              </w:rPr>
              <w:t>CON</w:t>
            </w:r>
            <w:r>
              <w:rPr>
                <w:rFonts w:ascii="Times New Roman" w:eastAsia="Times New Roman" w:hAnsi="Times New Roman" w:cs="Times New Roman"/>
                <w:b/>
                <w:sz w:val="18"/>
                <w:szCs w:val="18"/>
                <w:u w:val="single"/>
              </w:rPr>
              <w:t>TROLE DE ALTERAÇÕES DA MINUTA</w:t>
            </w:r>
          </w:p>
          <w:p w:rsidR="008C7EA8" w:rsidRDefault="007C04D2">
            <w:pPr>
              <w:jc w:val="center"/>
              <w:rPr>
                <w:rFonts w:ascii="Times New Roman" w:eastAsia="Times New Roman" w:hAnsi="Times New Roman" w:cs="Times New Roman"/>
                <w:b/>
                <w:sz w:val="18"/>
                <w:szCs w:val="18"/>
                <w:u w:val="single"/>
              </w:rPr>
            </w:pPr>
            <w:r>
              <w:rPr>
                <w:rFonts w:ascii="Times New Roman" w:eastAsia="Times New Roman" w:hAnsi="Times New Roman" w:cs="Times New Roman"/>
                <w:b/>
                <w:sz w:val="18"/>
                <w:szCs w:val="18"/>
                <w:u w:val="single"/>
              </w:rPr>
              <w:t>(CONFORME IPP/AGU)</w:t>
            </w:r>
          </w:p>
          <w:p w:rsidR="008C7EA8" w:rsidRDefault="008C7EA8">
            <w:pPr>
              <w:rPr>
                <w:rFonts w:ascii="Times New Roman" w:eastAsia="Times New Roman" w:hAnsi="Times New Roman" w:cs="Times New Roman"/>
                <w:sz w:val="18"/>
                <w:szCs w:val="18"/>
              </w:rPr>
            </w:pPr>
          </w:p>
          <w:p w:rsidR="008C7EA8" w:rsidRDefault="007C04D2">
            <w:pPr>
              <w:jc w:val="both"/>
              <w:rPr>
                <w:rFonts w:ascii="Times New Roman" w:eastAsia="Times New Roman" w:hAnsi="Times New Roman" w:cs="Times New Roman"/>
                <w:b/>
                <w:sz w:val="18"/>
                <w:szCs w:val="18"/>
              </w:rPr>
            </w:pPr>
            <w:r>
              <w:rPr>
                <w:rFonts w:ascii="Times New Roman" w:eastAsia="Times New Roman" w:hAnsi="Times New Roman" w:cs="Times New Roman"/>
                <w:b/>
                <w:color w:val="FF0000"/>
                <w:sz w:val="18"/>
                <w:szCs w:val="18"/>
              </w:rPr>
              <w:t>Redação incluída: marcada na cor vermelha.</w:t>
            </w:r>
          </w:p>
          <w:p w:rsidR="008C7EA8" w:rsidRDefault="007C04D2">
            <w:pPr>
              <w:jc w:val="both"/>
              <w:rPr>
                <w:rFonts w:ascii="Times New Roman" w:eastAsia="Times New Roman" w:hAnsi="Times New Roman" w:cs="Times New Roman"/>
                <w:b/>
                <w:color w:val="00B050"/>
                <w:sz w:val="18"/>
                <w:szCs w:val="18"/>
              </w:rPr>
            </w:pPr>
            <w:r>
              <w:rPr>
                <w:rFonts w:ascii="Times New Roman" w:eastAsia="Times New Roman" w:hAnsi="Times New Roman" w:cs="Times New Roman"/>
                <w:b/>
                <w:color w:val="00B050"/>
                <w:sz w:val="18"/>
                <w:szCs w:val="18"/>
              </w:rPr>
              <w:t>Redação adaptada/alterada/ajustada: marcada na cor verde.</w:t>
            </w:r>
          </w:p>
          <w:p w:rsidR="008C7EA8" w:rsidRDefault="007C04D2">
            <w:pPr>
              <w:jc w:val="both"/>
              <w:rPr>
                <w:rFonts w:ascii="Times New Roman" w:eastAsia="Times New Roman" w:hAnsi="Times New Roman" w:cs="Times New Roman"/>
                <w:b/>
                <w:color w:val="4472C4"/>
                <w:sz w:val="18"/>
                <w:szCs w:val="18"/>
              </w:rPr>
            </w:pPr>
            <w:r>
              <w:rPr>
                <w:rFonts w:ascii="Times New Roman" w:eastAsia="Times New Roman" w:hAnsi="Times New Roman" w:cs="Times New Roman"/>
                <w:b/>
                <w:color w:val="0070C0"/>
                <w:sz w:val="18"/>
                <w:szCs w:val="18"/>
              </w:rPr>
              <w:t xml:space="preserve">Redação como mero preenchimento </w:t>
            </w:r>
            <w:r>
              <w:rPr>
                <w:rFonts w:ascii="Times New Roman" w:eastAsia="Times New Roman" w:hAnsi="Times New Roman" w:cs="Times New Roman"/>
                <w:b/>
                <w:color w:val="4472C4"/>
                <w:sz w:val="18"/>
                <w:szCs w:val="18"/>
              </w:rPr>
              <w:t>das lacunas (nota explicativa)</w:t>
            </w:r>
            <w:r>
              <w:rPr>
                <w:rFonts w:ascii="Times New Roman" w:eastAsia="Times New Roman" w:hAnsi="Times New Roman" w:cs="Times New Roman"/>
                <w:b/>
                <w:color w:val="0070C0"/>
                <w:sz w:val="18"/>
                <w:szCs w:val="18"/>
              </w:rPr>
              <w:t>: marcada na cor azul.</w:t>
            </w:r>
          </w:p>
          <w:p w:rsidR="008C7EA8" w:rsidRDefault="007C04D2">
            <w:pPr>
              <w:jc w:val="both"/>
              <w:rPr>
                <w:rFonts w:ascii="Times New Roman" w:eastAsia="Times New Roman" w:hAnsi="Times New Roman" w:cs="Times New Roman"/>
                <w:strike/>
                <w:sz w:val="18"/>
                <w:szCs w:val="18"/>
              </w:rPr>
            </w:pPr>
            <w:r>
              <w:rPr>
                <w:rFonts w:ascii="Times New Roman" w:eastAsia="Times New Roman" w:hAnsi="Times New Roman" w:cs="Times New Roman"/>
                <w:strike/>
                <w:sz w:val="18"/>
                <w:szCs w:val="18"/>
              </w:rPr>
              <w:t>Redação suprimida: marcada na cor preta em formato tachado.</w:t>
            </w:r>
          </w:p>
          <w:p w:rsidR="008C7EA8" w:rsidRDefault="007C04D2">
            <w:pPr>
              <w:tabs>
                <w:tab w:val="left" w:pos="1701"/>
              </w:tabs>
              <w:spacing w:line="360" w:lineRule="auto"/>
              <w:ind w:right="-17"/>
              <w:rPr>
                <w:rFonts w:ascii="Times New Roman" w:eastAsia="Times New Roman" w:hAnsi="Times New Roman" w:cs="Times New Roman"/>
                <w:b/>
                <w:sz w:val="18"/>
                <w:szCs w:val="18"/>
                <w:u w:val="single"/>
              </w:rPr>
            </w:pPr>
            <w:r>
              <w:rPr>
                <w:rFonts w:ascii="Times New Roman" w:eastAsia="Times New Roman" w:hAnsi="Times New Roman" w:cs="Times New Roman"/>
                <w:b/>
                <w:color w:val="A5A5A5"/>
                <w:sz w:val="18"/>
                <w:szCs w:val="18"/>
              </w:rPr>
              <w:t>Redação de justificativas: marcada na cor cinza.</w:t>
            </w:r>
          </w:p>
        </w:tc>
      </w:tr>
    </w:tbl>
    <w:p w:rsidR="008C7EA8" w:rsidRDefault="008C7EA8">
      <w:pPr>
        <w:rPr>
          <w:rFonts w:ascii="Times New Roman" w:eastAsia="Times New Roman" w:hAnsi="Times New Roman" w:cs="Times New Roman"/>
        </w:rPr>
        <w:sectPr w:rsidR="008C7EA8">
          <w:footerReference w:type="default" r:id="rId13"/>
          <w:footerReference w:type="first" r:id="rId14"/>
          <w:pgSz w:w="11906" w:h="16838"/>
          <w:pgMar w:top="1418" w:right="1274" w:bottom="1418" w:left="1701" w:header="709" w:footer="832" w:gutter="0"/>
          <w:pgNumType w:start="1"/>
          <w:cols w:space="720"/>
          <w:titlePg/>
        </w:sectPr>
      </w:pPr>
    </w:p>
    <w:p w:rsidR="008C7EA8" w:rsidRDefault="007C04D2">
      <w:pPr>
        <w:jc w:val="center"/>
        <w:rPr>
          <w:rFonts w:ascii="Times New Roman" w:eastAsia="Times New Roman" w:hAnsi="Times New Roman" w:cs="Times New Roman"/>
        </w:rPr>
      </w:pPr>
      <w:r>
        <w:rPr>
          <w:noProof/>
        </w:rPr>
        <w:lastRenderedPageBreak/>
        <w:drawing>
          <wp:anchor distT="0" distB="0" distL="114300" distR="114300" simplePos="0" relativeHeight="251660288" behindDoc="0" locked="0" layoutInCell="1" hidden="0" allowOverlap="1">
            <wp:simplePos x="0" y="0"/>
            <wp:positionH relativeFrom="column">
              <wp:posOffset>2409825</wp:posOffset>
            </wp:positionH>
            <wp:positionV relativeFrom="paragraph">
              <wp:posOffset>0</wp:posOffset>
            </wp:positionV>
            <wp:extent cx="771525" cy="819150"/>
            <wp:effectExtent l="0" t="0" r="0" b="0"/>
            <wp:wrapNone/>
            <wp:docPr id="27" name="image1.jpg" descr="images"/>
            <wp:cNvGraphicFramePr/>
            <a:graphic xmlns:a="http://schemas.openxmlformats.org/drawingml/2006/main">
              <a:graphicData uri="http://schemas.openxmlformats.org/drawingml/2006/picture">
                <pic:pic xmlns:pic="http://schemas.openxmlformats.org/drawingml/2006/picture">
                  <pic:nvPicPr>
                    <pic:cNvPr id="0" name="image1.jpg" descr="images"/>
                    <pic:cNvPicPr preferRelativeResize="0"/>
                  </pic:nvPicPr>
                  <pic:blipFill>
                    <a:blip r:embed="rId9"/>
                    <a:srcRect/>
                    <a:stretch>
                      <a:fillRect/>
                    </a:stretch>
                  </pic:blipFill>
                  <pic:spPr>
                    <a:xfrm>
                      <a:off x="0" y="0"/>
                      <a:ext cx="771525" cy="819150"/>
                    </a:xfrm>
                    <a:prstGeom prst="rect">
                      <a:avLst/>
                    </a:prstGeom>
                    <a:ln/>
                  </pic:spPr>
                </pic:pic>
              </a:graphicData>
            </a:graphic>
          </wp:anchor>
        </w:drawing>
      </w: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 w:val="left" w:pos="3402"/>
        </w:tabs>
        <w:spacing w:line="360" w:lineRule="auto"/>
        <w:jc w:val="center"/>
        <w:rPr>
          <w:rFonts w:ascii="Times New Roman" w:eastAsia="Times New Roman" w:hAnsi="Times New Roman" w:cs="Times New Roman"/>
          <w:b/>
          <w:color w:val="000000"/>
          <w:sz w:val="24"/>
          <w:szCs w:val="24"/>
        </w:rPr>
      </w:pP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 w:val="left" w:pos="3402"/>
        </w:tabs>
        <w:spacing w:line="360" w:lineRule="auto"/>
        <w:jc w:val="center"/>
        <w:rPr>
          <w:rFonts w:ascii="Times New Roman" w:eastAsia="Times New Roman" w:hAnsi="Times New Roman" w:cs="Times New Roman"/>
          <w:b/>
          <w:color w:val="000000"/>
          <w:sz w:val="24"/>
          <w:szCs w:val="24"/>
        </w:rPr>
      </w:pPr>
    </w:p>
    <w:p w:rsidR="008C7EA8" w:rsidRDefault="008C7EA8">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ascii="Times New Roman" w:eastAsia="Times New Roman" w:hAnsi="Times New Roman" w:cs="Times New Roman"/>
          <w:b/>
          <w:sz w:val="24"/>
          <w:szCs w:val="24"/>
        </w:rPr>
      </w:pPr>
    </w:p>
    <w:p w:rsidR="008C7EA8" w:rsidRDefault="007C04D2">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MINISTÉRIO DA EDUCAÇÃO (MEC)</w:t>
      </w:r>
    </w:p>
    <w:p w:rsidR="008C7EA8" w:rsidRDefault="007C04D2">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UNIVERSIDADE FEDERAL DA PARAÍBA (UFPB)</w:t>
      </w:r>
    </w:p>
    <w:p w:rsidR="008C7EA8" w:rsidRDefault="007C04D2">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SUPERINTENDÊNCIA DE ORÇAMENTO E FINANÇAS (SOF)</w:t>
      </w:r>
    </w:p>
    <w:p w:rsidR="008C7EA8" w:rsidRDefault="007C04D2">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CO</w:t>
      </w:r>
      <w:r>
        <w:rPr>
          <w:rFonts w:ascii="Times New Roman" w:eastAsia="Times New Roman" w:hAnsi="Times New Roman" w:cs="Times New Roman"/>
          <w:b/>
          <w:sz w:val="24"/>
          <w:szCs w:val="24"/>
        </w:rPr>
        <w:t>ORDENAÇÃO</w:t>
      </w:r>
      <w:r>
        <w:rPr>
          <w:rFonts w:ascii="Times New Roman" w:eastAsia="Times New Roman" w:hAnsi="Times New Roman" w:cs="Times New Roman"/>
          <w:b/>
          <w:color w:val="000000"/>
          <w:sz w:val="24"/>
          <w:szCs w:val="24"/>
        </w:rPr>
        <w:t xml:space="preserve"> DE LICITAÇÕES E CONTRATOS (CLC)</w:t>
      </w:r>
    </w:p>
    <w:p w:rsidR="008C7EA8" w:rsidRDefault="008C7EA8">
      <w:pPr>
        <w:tabs>
          <w:tab w:val="left" w:pos="1418"/>
        </w:tabs>
        <w:spacing w:line="360" w:lineRule="auto"/>
        <w:jc w:val="center"/>
        <w:rPr>
          <w:rFonts w:ascii="Times New Roman" w:eastAsia="Times New Roman" w:hAnsi="Times New Roman" w:cs="Times New Roman"/>
          <w:b/>
          <w:sz w:val="24"/>
          <w:szCs w:val="24"/>
        </w:rPr>
      </w:pPr>
    </w:p>
    <w:p w:rsidR="008C7EA8" w:rsidRDefault="007C04D2">
      <w:pPr>
        <w:tabs>
          <w:tab w:val="left" w:pos="1418"/>
        </w:tabs>
        <w:spacing w:line="36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EDITAL DE LICITAÇÃO </w:t>
      </w:r>
    </w:p>
    <w:p w:rsidR="008C7EA8" w:rsidRDefault="007C04D2">
      <w:pPr>
        <w:tabs>
          <w:tab w:val="left" w:pos="1418"/>
        </w:tabs>
        <w:spacing w:line="36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PREGÃO ELETRÔNICO SRP UFPB/SOF/CLC Nº 900</w:t>
      </w:r>
      <w:r>
        <w:rPr>
          <w:rFonts w:ascii="Times New Roman" w:eastAsia="Times New Roman" w:hAnsi="Times New Roman" w:cs="Times New Roman"/>
          <w:b/>
          <w:sz w:val="24"/>
          <w:szCs w:val="24"/>
          <w:highlight w:val="white"/>
          <w:u w:val="single"/>
        </w:rPr>
        <w:t>06/</w:t>
      </w:r>
      <w:r>
        <w:rPr>
          <w:rFonts w:ascii="Times New Roman" w:eastAsia="Times New Roman" w:hAnsi="Times New Roman" w:cs="Times New Roman"/>
          <w:b/>
          <w:sz w:val="24"/>
          <w:szCs w:val="24"/>
          <w:u w:val="single"/>
        </w:rPr>
        <w:t>2025</w:t>
      </w:r>
    </w:p>
    <w:p w:rsidR="008C7EA8" w:rsidRDefault="007C04D2">
      <w:pPr>
        <w:tabs>
          <w:tab w:val="left" w:pos="1418"/>
        </w:tabs>
        <w:spacing w:line="36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PROCESSO ADMINISTRATIVO Nº 23074.067755/2025-90</w:t>
      </w:r>
    </w:p>
    <w:p w:rsidR="008C7EA8" w:rsidRDefault="008C7EA8">
      <w:pPr>
        <w:tabs>
          <w:tab w:val="left" w:pos="1418"/>
        </w:tabs>
        <w:spacing w:line="360" w:lineRule="auto"/>
        <w:jc w:val="center"/>
        <w:rPr>
          <w:rFonts w:ascii="Times New Roman" w:eastAsia="Times New Roman" w:hAnsi="Times New Roman" w:cs="Times New Roman"/>
          <w:b/>
          <w:sz w:val="24"/>
          <w:szCs w:val="24"/>
          <w:u w:val="single"/>
        </w:rPr>
      </w:pPr>
    </w:p>
    <w:p w:rsidR="008C7EA8" w:rsidRDefault="008C7EA8">
      <w:pPr>
        <w:tabs>
          <w:tab w:val="left" w:pos="1418"/>
        </w:tabs>
        <w:spacing w:line="360" w:lineRule="auto"/>
        <w:jc w:val="center"/>
        <w:rPr>
          <w:rFonts w:ascii="Times New Roman" w:eastAsia="Times New Roman" w:hAnsi="Times New Roman" w:cs="Times New Roman"/>
          <w:b/>
          <w:sz w:val="24"/>
          <w:szCs w:val="24"/>
          <w:u w:val="single"/>
        </w:rPr>
      </w:pPr>
    </w:p>
    <w:p w:rsidR="008C7EA8" w:rsidRDefault="007C04D2">
      <w:pPr>
        <w:tabs>
          <w:tab w:val="left" w:pos="1418"/>
        </w:tabs>
        <w:spacing w:line="36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PREÂMBULO</w:t>
      </w:r>
    </w:p>
    <w:p w:rsidR="008C7EA8" w:rsidRDefault="008C7EA8">
      <w:pPr>
        <w:tabs>
          <w:tab w:val="left" w:pos="1418"/>
        </w:tabs>
        <w:spacing w:line="360" w:lineRule="auto"/>
        <w:jc w:val="both"/>
        <w:rPr>
          <w:rFonts w:ascii="Times New Roman" w:eastAsia="Times New Roman" w:hAnsi="Times New Roman" w:cs="Times New Roman"/>
          <w:sz w:val="24"/>
          <w:szCs w:val="24"/>
        </w:rPr>
      </w:pPr>
    </w:p>
    <w:p w:rsidR="008C7EA8" w:rsidRDefault="008C7EA8">
      <w:pPr>
        <w:tabs>
          <w:tab w:val="left" w:pos="1418"/>
        </w:tabs>
        <w:spacing w:line="360" w:lineRule="auto"/>
        <w:jc w:val="both"/>
        <w:rPr>
          <w:rFonts w:ascii="Times New Roman" w:eastAsia="Times New Roman" w:hAnsi="Times New Roman" w:cs="Times New Roman"/>
          <w:sz w:val="24"/>
          <w:szCs w:val="24"/>
        </w:rPr>
      </w:pP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color w:val="000000"/>
          <w:sz w:val="24"/>
          <w:szCs w:val="24"/>
        </w:rPr>
      </w:pPr>
      <w:bookmarkStart w:id="1" w:name="_heading=h.pw0385kxkowp" w:colFirst="0" w:colLast="0"/>
      <w:bookmarkEnd w:id="1"/>
      <w:r>
        <w:rPr>
          <w:rFonts w:ascii="Times New Roman" w:eastAsia="Times New Roman" w:hAnsi="Times New Roman" w:cs="Times New Roman"/>
          <w:color w:val="000000"/>
          <w:sz w:val="24"/>
          <w:szCs w:val="24"/>
        </w:rPr>
        <w:t>Torna-se público que a Universidade Federal da Paraíba (UFP</w:t>
      </w:r>
      <w:r>
        <w:rPr>
          <w:rFonts w:ascii="Times New Roman" w:eastAsia="Times New Roman" w:hAnsi="Times New Roman" w:cs="Times New Roman"/>
          <w:sz w:val="24"/>
          <w:szCs w:val="24"/>
          <w:highlight w:val="white"/>
        </w:rPr>
        <w:t>B), por meio da Co</w:t>
      </w:r>
      <w:r>
        <w:rPr>
          <w:rFonts w:ascii="Times New Roman" w:eastAsia="Times New Roman" w:hAnsi="Times New Roman" w:cs="Times New Roman"/>
          <w:sz w:val="24"/>
          <w:szCs w:val="24"/>
        </w:rPr>
        <w:t xml:space="preserve">ordenação de Licitações e Contratos da Superintendência de Orçamento e Finanças (SOF-CLC), </w:t>
      </w:r>
      <w:r>
        <w:rPr>
          <w:rFonts w:ascii="Times New Roman" w:eastAsia="Times New Roman" w:hAnsi="Times New Roman" w:cs="Times New Roman"/>
          <w:color w:val="000000"/>
          <w:sz w:val="24"/>
          <w:szCs w:val="24"/>
        </w:rPr>
        <w:t xml:space="preserve">sediada na Cidade Universitária, Castelo Branco, João Pessoa – PB, CEP nº 58051-900, realizará licitação, para REGISTRO DE PREÇOS, na modalidade PREGÃO, na forma ELETRÔNICA, nos termos da Lei nº 14.133, de 1º de abril de 2021, </w:t>
      </w:r>
      <w:r>
        <w:rPr>
          <w:rFonts w:ascii="Times New Roman" w:eastAsia="Times New Roman" w:hAnsi="Times New Roman" w:cs="Times New Roman"/>
          <w:sz w:val="24"/>
          <w:szCs w:val="24"/>
        </w:rPr>
        <w:t>do Decreto nº 11.462, de 31 d</w:t>
      </w:r>
      <w:r>
        <w:rPr>
          <w:rFonts w:ascii="Times New Roman" w:eastAsia="Times New Roman" w:hAnsi="Times New Roman" w:cs="Times New Roman"/>
          <w:sz w:val="24"/>
          <w:szCs w:val="24"/>
        </w:rPr>
        <w:t xml:space="preserve">e março de 2023, e </w:t>
      </w:r>
      <w:r>
        <w:rPr>
          <w:rFonts w:ascii="Times New Roman" w:eastAsia="Times New Roman" w:hAnsi="Times New Roman" w:cs="Times New Roman"/>
          <w:color w:val="000000"/>
          <w:sz w:val="24"/>
          <w:szCs w:val="24"/>
        </w:rPr>
        <w:t>demais legislações aplicáveis e, ainda, de acordo com as condições estabelecidas neste Edital.</w:t>
      </w: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color w:val="000000"/>
          <w:sz w:val="24"/>
          <w:szCs w:val="24"/>
        </w:rPr>
      </w:pPr>
    </w:p>
    <w:p w:rsidR="008C7EA8" w:rsidRDefault="007C04D2">
      <w:pPr>
        <w:numPr>
          <w:ilvl w:val="0"/>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DO OBJETO</w:t>
      </w:r>
    </w:p>
    <w:p w:rsidR="008C7EA8" w:rsidRDefault="008C7EA8">
      <w:pPr>
        <w:tabs>
          <w:tab w:val="left" w:pos="1418"/>
        </w:tabs>
        <w:spacing w:line="360" w:lineRule="auto"/>
        <w:jc w:val="both"/>
        <w:rPr>
          <w:rFonts w:ascii="Times New Roman" w:eastAsia="Times New Roman" w:hAnsi="Times New Roman" w:cs="Times New Roman"/>
          <w:sz w:val="24"/>
          <w:szCs w:val="24"/>
        </w:rPr>
      </w:pPr>
    </w:p>
    <w:p w:rsidR="008C7EA8" w:rsidRDefault="007C04D2">
      <w:pPr>
        <w:numPr>
          <w:ilvl w:val="1"/>
          <w:numId w:val="2"/>
        </w:numPr>
        <w:pBdr>
          <w:top w:val="nil"/>
          <w:left w:val="nil"/>
          <w:bottom w:val="nil"/>
          <w:right w:val="nil"/>
          <w:between w:val="nil"/>
        </w:pBdr>
        <w:tabs>
          <w:tab w:val="left" w:pos="1418"/>
          <w:tab w:val="left" w:pos="1701"/>
        </w:tabs>
        <w:spacing w:line="360" w:lineRule="auto"/>
        <w:ind w:left="0" w:firstLine="0"/>
        <w:jc w:val="both"/>
        <w:rPr>
          <w:rFonts w:ascii="Times New Roman" w:eastAsia="Times New Roman" w:hAnsi="Times New Roman" w:cs="Times New Roman"/>
          <w:b/>
          <w:color w:val="00B0F0"/>
          <w:sz w:val="24"/>
          <w:szCs w:val="24"/>
        </w:rPr>
      </w:pPr>
      <w:bookmarkStart w:id="2" w:name="_heading=h.30j0zll" w:colFirst="0" w:colLast="0"/>
      <w:bookmarkEnd w:id="2"/>
      <w:r>
        <w:rPr>
          <w:rFonts w:ascii="Times New Roman" w:eastAsia="Times New Roman" w:hAnsi="Times New Roman" w:cs="Times New Roman"/>
          <w:sz w:val="24"/>
          <w:szCs w:val="24"/>
        </w:rPr>
        <w:t xml:space="preserve">O objeto da presente licitação é o </w:t>
      </w:r>
      <w:r>
        <w:rPr>
          <w:rFonts w:ascii="Times New Roman" w:eastAsia="Times New Roman" w:hAnsi="Times New Roman" w:cs="Times New Roman"/>
          <w:b/>
          <w:color w:val="00B0F0"/>
          <w:sz w:val="24"/>
          <w:szCs w:val="24"/>
        </w:rPr>
        <w:t xml:space="preserve">registro de preços para aquisição de materiais e equipamentos essenciais para a prestação de serviços realizados através da Superintendência de Serviços Gerais (SSG) da Universidade Federal da Paraíba </w:t>
      </w:r>
      <w:r>
        <w:rPr>
          <w:rFonts w:ascii="Times New Roman" w:eastAsia="Times New Roman" w:hAnsi="Times New Roman" w:cs="Times New Roman"/>
          <w:b/>
          <w:color w:val="00B0F0"/>
          <w:sz w:val="24"/>
          <w:szCs w:val="24"/>
        </w:rPr>
        <w:lastRenderedPageBreak/>
        <w:t>(UFPB), conforme condições, quantidades e exigências es</w:t>
      </w:r>
      <w:r>
        <w:rPr>
          <w:rFonts w:ascii="Times New Roman" w:eastAsia="Times New Roman" w:hAnsi="Times New Roman" w:cs="Times New Roman"/>
          <w:b/>
          <w:color w:val="00B0F0"/>
          <w:sz w:val="24"/>
          <w:szCs w:val="24"/>
        </w:rPr>
        <w:t>tabelecidas neste Edital e em todos os seus anexos.</w:t>
      </w:r>
      <w:r>
        <w:rPr>
          <w:rFonts w:ascii="Times New Roman" w:eastAsia="Times New Roman" w:hAnsi="Times New Roman" w:cs="Times New Roman"/>
          <w:b/>
          <w:color w:val="00B0F0"/>
          <w:sz w:val="24"/>
          <w:szCs w:val="24"/>
          <w:vertAlign w:val="superscript"/>
        </w:rPr>
        <w:footnoteReference w:id="1"/>
      </w:r>
    </w:p>
    <w:p w:rsidR="008C7EA8" w:rsidRDefault="007C04D2">
      <w:pPr>
        <w:numPr>
          <w:ilvl w:val="1"/>
          <w:numId w:val="2"/>
        </w:numPr>
        <w:pBdr>
          <w:top w:val="nil"/>
          <w:left w:val="nil"/>
          <w:bottom w:val="nil"/>
          <w:right w:val="nil"/>
          <w:between w:val="nil"/>
        </w:pBdr>
        <w:tabs>
          <w:tab w:val="left" w:pos="1418"/>
          <w:tab w:val="left" w:pos="1701"/>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licitação será dividida em itens, conforme tabela constante do Termo de Referência, facultando-se ao licitante a participação em quantos itens forem de seu interesse.</w:t>
      </w:r>
    </w:p>
    <w:p w:rsidR="008C7EA8" w:rsidRDefault="007C04D2">
      <w:pPr>
        <w:numPr>
          <w:ilvl w:val="1"/>
          <w:numId w:val="2"/>
        </w:numPr>
        <w:pBdr>
          <w:top w:val="nil"/>
          <w:left w:val="nil"/>
          <w:bottom w:val="nil"/>
          <w:right w:val="nil"/>
          <w:between w:val="nil"/>
        </w:pBdr>
        <w:tabs>
          <w:tab w:val="left" w:pos="1418"/>
          <w:tab w:val="left" w:pos="1701"/>
        </w:tabs>
        <w:spacing w:line="360" w:lineRule="auto"/>
        <w:ind w:left="0" w:firstLine="0"/>
        <w:jc w:val="both"/>
        <w:rPr>
          <w:rFonts w:ascii="Times New Roman" w:eastAsia="Times New Roman" w:hAnsi="Times New Roman" w:cs="Times New Roman"/>
          <w:b/>
          <w:strike/>
          <w:color w:val="000000"/>
          <w:sz w:val="24"/>
          <w:szCs w:val="24"/>
        </w:rPr>
      </w:pPr>
      <w:r>
        <w:rPr>
          <w:rFonts w:ascii="Times New Roman" w:eastAsia="Times New Roman" w:hAnsi="Times New Roman" w:cs="Times New Roman"/>
          <w:strike/>
          <w:sz w:val="24"/>
          <w:szCs w:val="24"/>
        </w:rPr>
        <w:t>A licitação será realizada em único item.</w:t>
      </w:r>
      <w:r>
        <w:rPr>
          <w:rFonts w:ascii="Times New Roman" w:eastAsia="Times New Roman" w:hAnsi="Times New Roman" w:cs="Times New Roman"/>
          <w:strike/>
          <w:sz w:val="24"/>
          <w:szCs w:val="24"/>
          <w:vertAlign w:val="superscript"/>
        </w:rPr>
        <w:footnoteReference w:id="2"/>
      </w:r>
    </w:p>
    <w:p w:rsidR="008C7EA8" w:rsidRDefault="007C04D2">
      <w:pPr>
        <w:numPr>
          <w:ilvl w:val="1"/>
          <w:numId w:val="2"/>
        </w:numPr>
        <w:pBdr>
          <w:top w:val="nil"/>
          <w:left w:val="nil"/>
          <w:bottom w:val="nil"/>
          <w:right w:val="nil"/>
          <w:between w:val="nil"/>
        </w:pBdr>
        <w:tabs>
          <w:tab w:val="left" w:pos="1418"/>
          <w:tab w:val="left" w:pos="1701"/>
        </w:tabs>
        <w:spacing w:line="360" w:lineRule="auto"/>
        <w:ind w:left="0" w:firstLine="0"/>
        <w:jc w:val="both"/>
        <w:rPr>
          <w:rFonts w:ascii="Times New Roman" w:eastAsia="Times New Roman" w:hAnsi="Times New Roman" w:cs="Times New Roman"/>
          <w:b/>
          <w:strike/>
          <w:color w:val="000000"/>
          <w:sz w:val="24"/>
          <w:szCs w:val="24"/>
        </w:rPr>
      </w:pPr>
      <w:r>
        <w:rPr>
          <w:rFonts w:ascii="Times New Roman" w:eastAsia="Times New Roman" w:hAnsi="Times New Roman" w:cs="Times New Roman"/>
          <w:strike/>
          <w:sz w:val="24"/>
          <w:szCs w:val="24"/>
        </w:rPr>
        <w:t>A licitação será dividida em grupos, formados por um ou mais itens, conforme tabela constante do Termo de Referência/Projeto Básico, facultando-se ao licitante a participação em quantos grupos forem de seu interes</w:t>
      </w:r>
      <w:r>
        <w:rPr>
          <w:rFonts w:ascii="Times New Roman" w:eastAsia="Times New Roman" w:hAnsi="Times New Roman" w:cs="Times New Roman"/>
          <w:strike/>
          <w:sz w:val="24"/>
          <w:szCs w:val="24"/>
        </w:rPr>
        <w:t>se, devendo oferecer proposta para todos os itens que os compõem.</w:t>
      </w:r>
      <w:r>
        <w:rPr>
          <w:rFonts w:ascii="Times New Roman" w:eastAsia="Times New Roman" w:hAnsi="Times New Roman" w:cs="Times New Roman"/>
          <w:strike/>
          <w:sz w:val="24"/>
          <w:szCs w:val="24"/>
          <w:vertAlign w:val="superscript"/>
        </w:rPr>
        <w:footnoteReference w:id="3"/>
      </w:r>
    </w:p>
    <w:p w:rsidR="008C7EA8" w:rsidRDefault="007C04D2">
      <w:pPr>
        <w:numPr>
          <w:ilvl w:val="1"/>
          <w:numId w:val="2"/>
        </w:numPr>
        <w:pBdr>
          <w:top w:val="nil"/>
          <w:left w:val="nil"/>
          <w:bottom w:val="nil"/>
          <w:right w:val="nil"/>
          <w:between w:val="nil"/>
        </w:pBdr>
        <w:tabs>
          <w:tab w:val="left" w:pos="1418"/>
          <w:tab w:val="left" w:pos="1701"/>
        </w:tabs>
        <w:spacing w:line="360" w:lineRule="auto"/>
        <w:ind w:left="0" w:firstLine="0"/>
        <w:jc w:val="both"/>
        <w:rPr>
          <w:rFonts w:ascii="Times New Roman" w:eastAsia="Times New Roman" w:hAnsi="Times New Roman" w:cs="Times New Roman"/>
          <w:b/>
          <w:strike/>
          <w:color w:val="000000"/>
          <w:sz w:val="24"/>
          <w:szCs w:val="24"/>
        </w:rPr>
      </w:pPr>
      <w:r>
        <w:rPr>
          <w:rFonts w:ascii="Times New Roman" w:eastAsia="Times New Roman" w:hAnsi="Times New Roman" w:cs="Times New Roman"/>
          <w:strike/>
          <w:sz w:val="24"/>
          <w:szCs w:val="24"/>
        </w:rPr>
        <w:t>A licitação será realizada em grupo único, formados por .... itens, conforme tabela constante no Termo de Referência/Projeto Básico, devendo o licitante oferecer proposta para todos os iten</w:t>
      </w:r>
      <w:r>
        <w:rPr>
          <w:rFonts w:ascii="Times New Roman" w:eastAsia="Times New Roman" w:hAnsi="Times New Roman" w:cs="Times New Roman"/>
          <w:strike/>
          <w:sz w:val="24"/>
          <w:szCs w:val="24"/>
        </w:rPr>
        <w:t>s que o compõem.</w:t>
      </w:r>
      <w:r>
        <w:rPr>
          <w:rFonts w:ascii="Times New Roman" w:eastAsia="Times New Roman" w:hAnsi="Times New Roman" w:cs="Times New Roman"/>
          <w:strike/>
          <w:sz w:val="24"/>
          <w:szCs w:val="24"/>
          <w:vertAlign w:val="superscript"/>
        </w:rPr>
        <w:footnoteReference w:id="4"/>
      </w:r>
    </w:p>
    <w:p w:rsidR="008C7EA8" w:rsidRDefault="007C04D2">
      <w:pPr>
        <w:numPr>
          <w:ilvl w:val="1"/>
          <w:numId w:val="2"/>
        </w:numPr>
        <w:pBdr>
          <w:top w:val="nil"/>
          <w:left w:val="nil"/>
          <w:bottom w:val="nil"/>
          <w:right w:val="nil"/>
          <w:between w:val="nil"/>
        </w:pBdr>
        <w:tabs>
          <w:tab w:val="left" w:pos="1418"/>
          <w:tab w:val="left" w:pos="1701"/>
        </w:tabs>
        <w:spacing w:line="360" w:lineRule="auto"/>
        <w:ind w:left="0" w:firstLine="0"/>
        <w:jc w:val="both"/>
        <w:rPr>
          <w:rFonts w:ascii="Times New Roman" w:eastAsia="Times New Roman" w:hAnsi="Times New Roman" w:cs="Times New Roman"/>
          <w:strike/>
          <w:sz w:val="24"/>
          <w:szCs w:val="24"/>
        </w:rPr>
      </w:pPr>
      <w:r>
        <w:rPr>
          <w:rFonts w:ascii="Times New Roman" w:eastAsia="Times New Roman" w:hAnsi="Times New Roman" w:cs="Times New Roman"/>
          <w:strike/>
          <w:sz w:val="24"/>
          <w:szCs w:val="24"/>
        </w:rPr>
        <w:t>A licitação será dividida em item(s) e grupo(s), sendo este(s) último(s) formado(s) por dois ou mais itens, conforme tabela constante do Termo de Referência/Projeto Básico.</w:t>
      </w:r>
      <w:r>
        <w:rPr>
          <w:rFonts w:ascii="Times New Roman" w:eastAsia="Times New Roman" w:hAnsi="Times New Roman" w:cs="Times New Roman"/>
          <w:strike/>
          <w:sz w:val="24"/>
          <w:szCs w:val="24"/>
          <w:vertAlign w:val="superscript"/>
        </w:rPr>
        <w:footnoteReference w:id="5"/>
      </w:r>
    </w:p>
    <w:p w:rsidR="008C7EA8" w:rsidRDefault="007C04D2">
      <w:pPr>
        <w:numPr>
          <w:ilvl w:val="2"/>
          <w:numId w:val="2"/>
        </w:numPr>
        <w:pBdr>
          <w:top w:val="nil"/>
          <w:left w:val="nil"/>
          <w:bottom w:val="nil"/>
          <w:right w:val="nil"/>
          <w:between w:val="nil"/>
        </w:pBdr>
        <w:tabs>
          <w:tab w:val="left" w:pos="1418"/>
          <w:tab w:val="left" w:pos="1701"/>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 xml:space="preserve">relativamente ao(s) item(s) isolado(s), faculta-se ao licitante </w:t>
      </w:r>
      <w:r>
        <w:rPr>
          <w:rFonts w:ascii="Times New Roman" w:eastAsia="Times New Roman" w:hAnsi="Times New Roman" w:cs="Times New Roman"/>
          <w:strike/>
          <w:color w:val="000000"/>
          <w:sz w:val="24"/>
          <w:szCs w:val="24"/>
        </w:rPr>
        <w:t>a participação em quantos itens forem de seu interesse;</w:t>
      </w:r>
      <w:r>
        <w:rPr>
          <w:rFonts w:ascii="Times New Roman" w:eastAsia="Times New Roman" w:hAnsi="Times New Roman" w:cs="Times New Roman"/>
          <w:strike/>
          <w:color w:val="000000"/>
          <w:sz w:val="24"/>
          <w:szCs w:val="24"/>
          <w:vertAlign w:val="superscript"/>
        </w:rPr>
        <w:footnoteReference w:id="6"/>
      </w:r>
    </w:p>
    <w:p w:rsidR="008C7EA8" w:rsidRDefault="007C04D2">
      <w:pPr>
        <w:numPr>
          <w:ilvl w:val="2"/>
          <w:numId w:val="2"/>
        </w:numPr>
        <w:pBdr>
          <w:top w:val="nil"/>
          <w:left w:val="nil"/>
          <w:bottom w:val="nil"/>
          <w:right w:val="nil"/>
          <w:between w:val="nil"/>
        </w:pBdr>
        <w:tabs>
          <w:tab w:val="left" w:pos="1418"/>
          <w:tab w:val="left" w:pos="1701"/>
        </w:tabs>
        <w:spacing w:line="360" w:lineRule="auto"/>
        <w:ind w:left="0" w:firstLine="0"/>
        <w:jc w:val="both"/>
        <w:rPr>
          <w:rFonts w:ascii="Times New Roman" w:eastAsia="Times New Roman" w:hAnsi="Times New Roman" w:cs="Times New Roman"/>
          <w:b/>
          <w:strike/>
          <w:color w:val="000000"/>
          <w:sz w:val="24"/>
          <w:szCs w:val="24"/>
        </w:rPr>
      </w:pPr>
      <w:r>
        <w:rPr>
          <w:rFonts w:ascii="Times New Roman" w:eastAsia="Times New Roman" w:hAnsi="Times New Roman" w:cs="Times New Roman"/>
          <w:strike/>
          <w:color w:val="000000"/>
          <w:sz w:val="24"/>
          <w:szCs w:val="24"/>
        </w:rPr>
        <w:t>relativamente ao(s) grupo(s), faculta-se ao licitante a participação em quantos grupos forem de seu interesse, devendo oferecer proposta para todos os itens que os compõem.</w:t>
      </w:r>
      <w:r>
        <w:rPr>
          <w:rFonts w:ascii="Times New Roman" w:eastAsia="Times New Roman" w:hAnsi="Times New Roman" w:cs="Times New Roman"/>
          <w:strike/>
          <w:sz w:val="24"/>
          <w:szCs w:val="24"/>
          <w:vertAlign w:val="superscript"/>
        </w:rPr>
        <w:footnoteReference w:id="7"/>
      </w:r>
    </w:p>
    <w:p w:rsidR="008C7EA8" w:rsidRDefault="007C04D2">
      <w:pPr>
        <w:numPr>
          <w:ilvl w:val="1"/>
          <w:numId w:val="2"/>
        </w:numPr>
        <w:pBdr>
          <w:top w:val="nil"/>
          <w:left w:val="nil"/>
          <w:bottom w:val="nil"/>
          <w:right w:val="nil"/>
          <w:between w:val="nil"/>
        </w:pBdr>
        <w:tabs>
          <w:tab w:val="left" w:pos="1418"/>
          <w:tab w:val="left" w:pos="1701"/>
        </w:tabs>
        <w:spacing w:line="360" w:lineRule="auto"/>
        <w:ind w:left="0" w:firstLine="0"/>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 xml:space="preserve">O critério de julgamento adotado será o de </w:t>
      </w:r>
      <w:r>
        <w:rPr>
          <w:rFonts w:ascii="Times New Roman" w:eastAsia="Times New Roman" w:hAnsi="Times New Roman" w:cs="Times New Roman"/>
          <w:b/>
          <w:color w:val="FF0000"/>
          <w:sz w:val="24"/>
          <w:szCs w:val="24"/>
          <w:u w:val="single"/>
        </w:rPr>
        <w:t>menor preço</w:t>
      </w:r>
      <w:r>
        <w:rPr>
          <w:rFonts w:ascii="Times New Roman" w:eastAsia="Times New Roman" w:hAnsi="Times New Roman" w:cs="Times New Roman"/>
          <w:b/>
          <w:color w:val="FF0000"/>
          <w:sz w:val="24"/>
          <w:szCs w:val="24"/>
        </w:rPr>
        <w:t>, observadas as exigências contidas neste Edital e seus Anexos quanto às especificações do objeto.</w:t>
      </w:r>
      <w:r>
        <w:rPr>
          <w:rFonts w:ascii="Times New Roman" w:eastAsia="Times New Roman" w:hAnsi="Times New Roman" w:cs="Times New Roman"/>
          <w:b/>
          <w:color w:val="FF0000"/>
          <w:sz w:val="24"/>
          <w:szCs w:val="24"/>
          <w:vertAlign w:val="superscript"/>
        </w:rPr>
        <w:footnoteReference w:id="8"/>
      </w: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b/>
          <w:color w:val="000000"/>
          <w:sz w:val="24"/>
          <w:szCs w:val="24"/>
        </w:rPr>
      </w:pPr>
    </w:p>
    <w:p w:rsidR="008C7EA8" w:rsidRDefault="007C04D2">
      <w:pPr>
        <w:numPr>
          <w:ilvl w:val="0"/>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DO REGISTRO DE PREÇOS</w:t>
      </w: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color w:val="000000"/>
          <w:sz w:val="24"/>
          <w:szCs w:val="24"/>
        </w:rPr>
      </w:pP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2.1</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As</w:t>
      </w:r>
      <w:proofErr w:type="gramEnd"/>
      <w:r>
        <w:rPr>
          <w:rFonts w:ascii="Times New Roman" w:eastAsia="Times New Roman" w:hAnsi="Times New Roman" w:cs="Times New Roman"/>
          <w:sz w:val="24"/>
          <w:szCs w:val="24"/>
        </w:rPr>
        <w:t xml:space="preserve"> regras referentes aos órgãos gerenciador e participantes, bem como a eventuais adesões são as que constam da minuta de Ata de Registro de Preços.</w:t>
      </w: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color w:val="000000"/>
          <w:sz w:val="24"/>
          <w:szCs w:val="24"/>
        </w:rPr>
      </w:pPr>
    </w:p>
    <w:p w:rsidR="008C7EA8" w:rsidRDefault="007C04D2">
      <w:pPr>
        <w:numPr>
          <w:ilvl w:val="0"/>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0000"/>
          <w:sz w:val="24"/>
          <w:szCs w:val="24"/>
        </w:rPr>
      </w:pPr>
      <w:bookmarkStart w:id="3" w:name="_heading=h.71rk59jv6gc6" w:colFirst="0" w:colLast="0"/>
      <w:bookmarkEnd w:id="3"/>
      <w:r>
        <w:rPr>
          <w:rFonts w:ascii="Times New Roman" w:eastAsia="Times New Roman" w:hAnsi="Times New Roman" w:cs="Times New Roman"/>
          <w:b/>
          <w:color w:val="000000"/>
          <w:sz w:val="24"/>
          <w:szCs w:val="24"/>
        </w:rPr>
        <w:t>DA PARTICIPAÇÃO NA LICITAÇÃO</w:t>
      </w:r>
    </w:p>
    <w:p w:rsidR="008C7EA8" w:rsidRDefault="008C7EA8">
      <w:pPr>
        <w:tabs>
          <w:tab w:val="left" w:pos="1418"/>
        </w:tabs>
        <w:spacing w:line="360" w:lineRule="auto"/>
        <w:jc w:val="both"/>
        <w:rPr>
          <w:rFonts w:ascii="Times New Roman" w:eastAsia="Times New Roman" w:hAnsi="Times New Roman" w:cs="Times New Roman"/>
          <w:sz w:val="24"/>
          <w:szCs w:val="24"/>
        </w:rPr>
      </w:pPr>
    </w:p>
    <w:p w:rsidR="008C7EA8" w:rsidRDefault="007C04D2">
      <w:pPr>
        <w:numPr>
          <w:ilvl w:val="1"/>
          <w:numId w:val="2"/>
        </w:numPr>
        <w:pBdr>
          <w:top w:val="nil"/>
          <w:left w:val="nil"/>
          <w:bottom w:val="nil"/>
          <w:right w:val="nil"/>
          <w:between w:val="nil"/>
        </w:pBdr>
        <w:tabs>
          <w:tab w:val="left" w:pos="1418"/>
          <w:tab w:val="left" w:pos="1701"/>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Poderão participar deste certame os interessados </w:t>
      </w:r>
      <w:r>
        <w:rPr>
          <w:rFonts w:ascii="Times New Roman" w:eastAsia="Times New Roman" w:hAnsi="Times New Roman" w:cs="Times New Roman"/>
          <w:sz w:val="24"/>
          <w:szCs w:val="24"/>
        </w:rPr>
        <w:t>cujo ramo de atividade seja compatível com o objeto da licitação</w:t>
      </w:r>
      <w:r>
        <w:rPr>
          <w:rFonts w:ascii="Times New Roman" w:eastAsia="Times New Roman" w:hAnsi="Times New Roman" w:cs="Times New Roman"/>
          <w:color w:val="000000"/>
          <w:sz w:val="24"/>
          <w:szCs w:val="24"/>
        </w:rPr>
        <w:t xml:space="preserve"> e que estiverem previamente credenciados no Sistema de Cadastramento Unificado de Fornecedores – SICAF e no Sistema de Compras do Governo Federa</w:t>
      </w:r>
      <w:r>
        <w:rPr>
          <w:rFonts w:ascii="Times New Roman" w:eastAsia="Times New Roman" w:hAnsi="Times New Roman" w:cs="Times New Roman"/>
          <w:sz w:val="24"/>
          <w:szCs w:val="24"/>
        </w:rPr>
        <w:t>l (</w:t>
      </w:r>
      <w:hyperlink r:id="rId15">
        <w:r>
          <w:rPr>
            <w:rFonts w:ascii="Times New Roman" w:eastAsia="Times New Roman" w:hAnsi="Times New Roman" w:cs="Times New Roman"/>
            <w:b/>
            <w:i/>
            <w:sz w:val="24"/>
            <w:szCs w:val="24"/>
            <w:u w:val="single"/>
          </w:rPr>
          <w:t>www.gov.br/compras</w:t>
        </w:r>
      </w:hyperlink>
      <w:r>
        <w:rPr>
          <w:rFonts w:ascii="Times New Roman" w:eastAsia="Times New Roman" w:hAnsi="Times New Roman" w:cs="Times New Roman"/>
          <w:sz w:val="24"/>
          <w:szCs w:val="24"/>
        </w:rPr>
        <w:t>).</w:t>
      </w:r>
    </w:p>
    <w:p w:rsidR="008C7EA8" w:rsidRDefault="007C04D2">
      <w:pPr>
        <w:numPr>
          <w:ilvl w:val="1"/>
          <w:numId w:val="2"/>
        </w:numPr>
        <w:pBdr>
          <w:top w:val="nil"/>
          <w:left w:val="nil"/>
          <w:bottom w:val="nil"/>
          <w:right w:val="nil"/>
          <w:between w:val="nil"/>
        </w:pBdr>
        <w:tabs>
          <w:tab w:val="left" w:pos="1418"/>
          <w:tab w:val="left" w:pos="1701"/>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Os interessados deverão atender às condições exigidas no cadastramento no SICAF até o terceiro dia útil anterior à data prevista para recebimento das propostas.</w:t>
      </w:r>
    </w:p>
    <w:p w:rsidR="008C7EA8" w:rsidRDefault="007C04D2">
      <w:pPr>
        <w:numPr>
          <w:ilvl w:val="1"/>
          <w:numId w:val="2"/>
        </w:numPr>
        <w:pBdr>
          <w:top w:val="nil"/>
          <w:left w:val="nil"/>
          <w:bottom w:val="nil"/>
          <w:right w:val="nil"/>
          <w:between w:val="nil"/>
        </w:pBdr>
        <w:tabs>
          <w:tab w:val="left" w:pos="1418"/>
          <w:tab w:val="left" w:pos="1701"/>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 licitante responsabiliza-se exclusiva e formalmente pelas transações ef</w:t>
      </w:r>
      <w:r>
        <w:rPr>
          <w:rFonts w:ascii="Times New Roman" w:eastAsia="Times New Roman" w:hAnsi="Times New Roman" w:cs="Times New Roman"/>
          <w:color w:val="000000"/>
          <w:sz w:val="24"/>
          <w:szCs w:val="24"/>
        </w:rPr>
        <w:t>etuadas em seu nome, assume como firmes e verdadeiras suas propostas e seus lances, inclusive os atos praticados diretamente ou por seu representante, excluída a responsabilidade do provedor do sistema ou do órgão ou entidade promotora da licitação por eve</w:t>
      </w:r>
      <w:r>
        <w:rPr>
          <w:rFonts w:ascii="Times New Roman" w:eastAsia="Times New Roman" w:hAnsi="Times New Roman" w:cs="Times New Roman"/>
          <w:color w:val="000000"/>
          <w:sz w:val="24"/>
          <w:szCs w:val="24"/>
        </w:rPr>
        <w:t>ntuais danos decorrentes de uso indevido das credenciais de acesso, ainda que por terceiros.</w:t>
      </w:r>
    </w:p>
    <w:p w:rsidR="008C7EA8" w:rsidRDefault="007C04D2">
      <w:pPr>
        <w:numPr>
          <w:ilvl w:val="1"/>
          <w:numId w:val="2"/>
        </w:numPr>
        <w:pBdr>
          <w:top w:val="nil"/>
          <w:left w:val="nil"/>
          <w:bottom w:val="nil"/>
          <w:right w:val="nil"/>
          <w:between w:val="nil"/>
        </w:pBdr>
        <w:tabs>
          <w:tab w:val="left" w:pos="1418"/>
          <w:tab w:val="left" w:pos="1701"/>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É de responsabilidade do cadastrado conferir a exatidão dos seus dados cadastrais nos Sistemas relacionados no item anterior e mantê-los atualizados junto aos órgã</w:t>
      </w:r>
      <w:r>
        <w:rPr>
          <w:rFonts w:ascii="Times New Roman" w:eastAsia="Times New Roman" w:hAnsi="Times New Roman" w:cs="Times New Roman"/>
          <w:color w:val="000000"/>
          <w:sz w:val="24"/>
          <w:szCs w:val="24"/>
        </w:rPr>
        <w:t>os responsáveis pela informação, devendo proceder, imediatamente, à correção ou à alteração dos registros tão logo identifique incorreção ou aqueles se tornem desatualizados.</w:t>
      </w:r>
    </w:p>
    <w:p w:rsidR="008C7EA8" w:rsidRDefault="007C04D2">
      <w:pPr>
        <w:numPr>
          <w:ilvl w:val="1"/>
          <w:numId w:val="2"/>
        </w:numPr>
        <w:pBdr>
          <w:top w:val="nil"/>
          <w:left w:val="nil"/>
          <w:bottom w:val="nil"/>
          <w:right w:val="nil"/>
          <w:between w:val="nil"/>
        </w:pBdr>
        <w:tabs>
          <w:tab w:val="left" w:pos="1418"/>
          <w:tab w:val="left" w:pos="1701"/>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não observância do disposto no item anterior poderá ensejar desclassificação no</w:t>
      </w:r>
      <w:r>
        <w:rPr>
          <w:rFonts w:ascii="Times New Roman" w:eastAsia="Times New Roman" w:hAnsi="Times New Roman" w:cs="Times New Roman"/>
          <w:color w:val="000000"/>
          <w:sz w:val="24"/>
          <w:szCs w:val="24"/>
        </w:rPr>
        <w:t xml:space="preserve"> momento da habilitação.</w:t>
      </w:r>
    </w:p>
    <w:p w:rsidR="008C7EA8" w:rsidRDefault="007C04D2">
      <w:pPr>
        <w:numPr>
          <w:ilvl w:val="1"/>
          <w:numId w:val="2"/>
        </w:numPr>
        <w:pBdr>
          <w:top w:val="nil"/>
          <w:left w:val="nil"/>
          <w:bottom w:val="nil"/>
          <w:right w:val="nil"/>
          <w:between w:val="nil"/>
        </w:pBdr>
        <w:tabs>
          <w:tab w:val="left" w:pos="1418"/>
          <w:tab w:val="left" w:pos="1701"/>
        </w:tabs>
        <w:spacing w:line="360" w:lineRule="auto"/>
        <w:ind w:left="0" w:firstLine="0"/>
        <w:jc w:val="both"/>
        <w:rPr>
          <w:rFonts w:ascii="Times New Roman" w:eastAsia="Times New Roman" w:hAnsi="Times New Roman" w:cs="Times New Roman"/>
          <w:b/>
          <w:i/>
          <w:color w:val="00B0F0"/>
          <w:sz w:val="24"/>
          <w:szCs w:val="24"/>
        </w:rPr>
      </w:pPr>
      <w:r>
        <w:rPr>
          <w:rFonts w:ascii="Times New Roman" w:eastAsia="Times New Roman" w:hAnsi="Times New Roman" w:cs="Times New Roman"/>
          <w:b/>
          <w:color w:val="00B0F0"/>
          <w:sz w:val="24"/>
          <w:szCs w:val="24"/>
        </w:rPr>
        <w:t xml:space="preserve">Para todos os itens desta licitação, a participação é exclusiva a microempresas e empresas de pequeno porte, nos termos do </w:t>
      </w:r>
      <w:hyperlink r:id="rId16">
        <w:r>
          <w:rPr>
            <w:rFonts w:ascii="Times New Roman" w:eastAsia="Times New Roman" w:hAnsi="Times New Roman" w:cs="Times New Roman"/>
            <w:b/>
            <w:color w:val="00B0F0"/>
            <w:sz w:val="24"/>
            <w:szCs w:val="24"/>
          </w:rPr>
          <w:t xml:space="preserve">art. 48 da Lei Complementar nº </w:t>
        </w:r>
        <w:r>
          <w:rPr>
            <w:rFonts w:ascii="Times New Roman" w:eastAsia="Times New Roman" w:hAnsi="Times New Roman" w:cs="Times New Roman"/>
            <w:b/>
            <w:color w:val="00B0F0"/>
            <w:sz w:val="24"/>
            <w:szCs w:val="24"/>
          </w:rPr>
          <w:t>123, de 14 de dezembro de 2006</w:t>
        </w:r>
      </w:hyperlink>
      <w:r>
        <w:rPr>
          <w:rFonts w:ascii="Times New Roman" w:eastAsia="Times New Roman" w:hAnsi="Times New Roman" w:cs="Times New Roman"/>
          <w:b/>
          <w:color w:val="00B0F0"/>
          <w:sz w:val="24"/>
          <w:szCs w:val="24"/>
        </w:rPr>
        <w:t>.</w:t>
      </w:r>
      <w:r>
        <w:rPr>
          <w:rFonts w:ascii="Times New Roman" w:eastAsia="Times New Roman" w:hAnsi="Times New Roman" w:cs="Times New Roman"/>
          <w:b/>
          <w:color w:val="00B0F0"/>
          <w:sz w:val="24"/>
          <w:szCs w:val="24"/>
          <w:vertAlign w:val="superscript"/>
        </w:rPr>
        <w:footnoteReference w:id="9"/>
      </w:r>
    </w:p>
    <w:p w:rsidR="008C7EA8" w:rsidRDefault="007C04D2">
      <w:pPr>
        <w:numPr>
          <w:ilvl w:val="1"/>
          <w:numId w:val="2"/>
        </w:numPr>
        <w:pBdr>
          <w:top w:val="nil"/>
          <w:left w:val="nil"/>
          <w:bottom w:val="nil"/>
          <w:right w:val="nil"/>
          <w:between w:val="nil"/>
        </w:pBdr>
        <w:tabs>
          <w:tab w:val="left" w:pos="1418"/>
          <w:tab w:val="left" w:pos="1701"/>
        </w:tabs>
        <w:spacing w:line="360" w:lineRule="auto"/>
        <w:ind w:left="0" w:firstLine="0"/>
        <w:jc w:val="both"/>
        <w:rPr>
          <w:rFonts w:ascii="Times New Roman" w:eastAsia="Times New Roman" w:hAnsi="Times New Roman" w:cs="Times New Roman"/>
          <w:sz w:val="24"/>
          <w:szCs w:val="24"/>
        </w:rPr>
      </w:pPr>
      <w:bookmarkStart w:id="4" w:name="_heading=h.1ksv4uv" w:colFirst="0" w:colLast="0"/>
      <w:bookmarkEnd w:id="4"/>
      <w:r>
        <w:rPr>
          <w:rFonts w:ascii="Times New Roman" w:eastAsia="Times New Roman" w:hAnsi="Times New Roman" w:cs="Times New Roman"/>
          <w:sz w:val="24"/>
          <w:szCs w:val="24"/>
        </w:rPr>
        <w:lastRenderedPageBreak/>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w:t>
      </w:r>
      <w:r>
        <w:rPr>
          <w:rFonts w:ascii="Times New Roman" w:eastAsia="Times New Roman" w:hAnsi="Times New Roman" w:cs="Times New Roman"/>
          <w:sz w:val="24"/>
          <w:szCs w:val="24"/>
        </w:rPr>
        <w:t>extrapolem a receita bruta máxima admitida para fins de enquadramento como empresa de pequeno porte.</w:t>
      </w:r>
    </w:p>
    <w:p w:rsidR="008C7EA8" w:rsidRDefault="007C04D2">
      <w:pPr>
        <w:numPr>
          <w:ilvl w:val="1"/>
          <w:numId w:val="2"/>
        </w:numPr>
        <w:pBdr>
          <w:top w:val="nil"/>
          <w:left w:val="nil"/>
          <w:bottom w:val="nil"/>
          <w:right w:val="nil"/>
          <w:between w:val="nil"/>
        </w:pBdr>
        <w:tabs>
          <w:tab w:val="left" w:pos="1418"/>
          <w:tab w:val="left" w:pos="1701"/>
        </w:tabs>
        <w:spacing w:line="360" w:lineRule="auto"/>
        <w:ind w:left="0" w:firstLine="0"/>
        <w:jc w:val="both"/>
        <w:rPr>
          <w:rFonts w:ascii="Times New Roman" w:eastAsia="Times New Roman" w:hAnsi="Times New Roman" w:cs="Times New Roman"/>
          <w:b/>
          <w:color w:val="00B050"/>
          <w:sz w:val="24"/>
          <w:szCs w:val="24"/>
        </w:rPr>
      </w:pPr>
      <w:r>
        <w:rPr>
          <w:rFonts w:ascii="Times New Roman" w:eastAsia="Times New Roman" w:hAnsi="Times New Roman" w:cs="Times New Roman"/>
          <w:b/>
          <w:color w:val="00B050"/>
          <w:sz w:val="24"/>
          <w:szCs w:val="24"/>
        </w:rPr>
        <w:t>Será concedido tratamento favorecido para as microempresas e empresas de pequeno porte, nos limites previstos da Lei Complementar nº 123, de 2006 e do Decr</w:t>
      </w:r>
      <w:r>
        <w:rPr>
          <w:rFonts w:ascii="Times New Roman" w:eastAsia="Times New Roman" w:hAnsi="Times New Roman" w:cs="Times New Roman"/>
          <w:b/>
          <w:color w:val="00B050"/>
          <w:sz w:val="24"/>
          <w:szCs w:val="24"/>
        </w:rPr>
        <w:t>eto n.º 8.538, de 2015.</w:t>
      </w:r>
      <w:r>
        <w:rPr>
          <w:rFonts w:ascii="Times New Roman" w:eastAsia="Times New Roman" w:hAnsi="Times New Roman" w:cs="Times New Roman"/>
          <w:b/>
          <w:color w:val="00B050"/>
          <w:sz w:val="24"/>
          <w:szCs w:val="24"/>
          <w:vertAlign w:val="superscript"/>
        </w:rPr>
        <w:footnoteReference w:id="10"/>
      </w:r>
    </w:p>
    <w:p w:rsidR="008C7EA8" w:rsidRDefault="007C04D2">
      <w:pPr>
        <w:numPr>
          <w:ilvl w:val="1"/>
          <w:numId w:val="2"/>
        </w:numPr>
        <w:pBdr>
          <w:top w:val="nil"/>
          <w:left w:val="nil"/>
          <w:bottom w:val="nil"/>
          <w:right w:val="nil"/>
          <w:between w:val="nil"/>
        </w:pBdr>
        <w:tabs>
          <w:tab w:val="left" w:pos="1418"/>
          <w:tab w:val="left" w:pos="1701"/>
        </w:tabs>
        <w:spacing w:line="360" w:lineRule="auto"/>
        <w:ind w:left="0" w:firstLine="0"/>
        <w:jc w:val="both"/>
        <w:rPr>
          <w:rFonts w:ascii="Times New Roman" w:eastAsia="Times New Roman" w:hAnsi="Times New Roman" w:cs="Times New Roman"/>
          <w:strike/>
          <w:sz w:val="24"/>
          <w:szCs w:val="24"/>
        </w:rPr>
      </w:pPr>
      <w:r>
        <w:rPr>
          <w:rFonts w:ascii="Times New Roman" w:eastAsia="Times New Roman" w:hAnsi="Times New Roman" w:cs="Times New Roman"/>
          <w:strike/>
          <w:sz w:val="24"/>
          <w:szCs w:val="24"/>
        </w:rPr>
        <w:t>Nos itens XX, XX e XX não será concedido nesta Licitação tratamento favorecido para microempresas, empresas de pequeno porte e figuras equiparadas, nos termos da Lei Complementar nº 123, de 2006, em razão da incidência, no caso, do</w:t>
      </w:r>
      <w:r>
        <w:rPr>
          <w:rFonts w:ascii="Times New Roman" w:eastAsia="Times New Roman" w:hAnsi="Times New Roman" w:cs="Times New Roman"/>
          <w:strike/>
          <w:sz w:val="24"/>
          <w:szCs w:val="24"/>
        </w:rPr>
        <w:t xml:space="preserve"> art. 4º, § 1º da Lei nº 14.133, de 2021.</w:t>
      </w:r>
      <w:r>
        <w:rPr>
          <w:rFonts w:ascii="Times New Roman" w:eastAsia="Times New Roman" w:hAnsi="Times New Roman" w:cs="Times New Roman"/>
          <w:strike/>
          <w:sz w:val="24"/>
          <w:szCs w:val="24"/>
          <w:vertAlign w:val="superscript"/>
        </w:rPr>
        <w:footnoteReference w:id="11"/>
      </w:r>
    </w:p>
    <w:p w:rsidR="008C7EA8" w:rsidRDefault="007C04D2">
      <w:pPr>
        <w:numPr>
          <w:ilvl w:val="1"/>
          <w:numId w:val="2"/>
        </w:numPr>
        <w:pBdr>
          <w:top w:val="nil"/>
          <w:left w:val="nil"/>
          <w:bottom w:val="nil"/>
          <w:right w:val="nil"/>
          <w:between w:val="nil"/>
        </w:pBdr>
        <w:tabs>
          <w:tab w:val="left" w:pos="1418"/>
          <w:tab w:val="left" w:pos="1701"/>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Não poderão disputar esta licitação:</w:t>
      </w:r>
    </w:p>
    <w:p w:rsidR="008C7EA8" w:rsidRDefault="007C04D2">
      <w:pPr>
        <w:numPr>
          <w:ilvl w:val="2"/>
          <w:numId w:val="2"/>
        </w:numPr>
        <w:pBdr>
          <w:top w:val="nil"/>
          <w:left w:val="nil"/>
          <w:bottom w:val="nil"/>
          <w:right w:val="nil"/>
          <w:between w:val="nil"/>
        </w:pBdr>
        <w:tabs>
          <w:tab w:val="left" w:pos="1418"/>
          <w:tab w:val="left" w:pos="1701"/>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aquele</w:t>
      </w:r>
      <w:proofErr w:type="gramEnd"/>
      <w:r>
        <w:rPr>
          <w:rFonts w:ascii="Times New Roman" w:eastAsia="Times New Roman" w:hAnsi="Times New Roman" w:cs="Times New Roman"/>
          <w:color w:val="000000"/>
          <w:sz w:val="24"/>
          <w:szCs w:val="24"/>
        </w:rPr>
        <w:t xml:space="preserve"> que não atenda às condições deste Edital e seu(s) anexo(s);</w:t>
      </w:r>
    </w:p>
    <w:p w:rsidR="008C7EA8" w:rsidRDefault="007C04D2">
      <w:pPr>
        <w:numPr>
          <w:ilvl w:val="2"/>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bookmarkStart w:id="5" w:name="_heading=h.1fob9te" w:colFirst="0" w:colLast="0"/>
      <w:bookmarkEnd w:id="5"/>
      <w:proofErr w:type="gramStart"/>
      <w:r>
        <w:rPr>
          <w:rFonts w:ascii="Times New Roman" w:eastAsia="Times New Roman" w:hAnsi="Times New Roman" w:cs="Times New Roman"/>
          <w:sz w:val="24"/>
          <w:szCs w:val="24"/>
        </w:rPr>
        <w:t>sociedade</w:t>
      </w:r>
      <w:proofErr w:type="gramEnd"/>
      <w:r>
        <w:rPr>
          <w:rFonts w:ascii="Times New Roman" w:eastAsia="Times New Roman" w:hAnsi="Times New Roman" w:cs="Times New Roman"/>
          <w:sz w:val="24"/>
          <w:szCs w:val="24"/>
        </w:rPr>
        <w:t xml:space="preserve"> que desempenhe atividade incompatível com o objeto da licitação;</w:t>
      </w:r>
    </w:p>
    <w:p w:rsidR="008C7EA8" w:rsidRDefault="007C04D2">
      <w:pPr>
        <w:numPr>
          <w:ilvl w:val="2"/>
          <w:numId w:val="2"/>
        </w:numPr>
        <w:tabs>
          <w:tab w:val="left" w:pos="1418"/>
          <w:tab w:val="left" w:pos="1701"/>
        </w:tabs>
        <w:spacing w:line="360" w:lineRule="auto"/>
        <w:ind w:left="0" w:firstLine="0"/>
        <w:jc w:val="both"/>
        <w:rPr>
          <w:rFonts w:ascii="Times New Roman" w:eastAsia="Times New Roman" w:hAnsi="Times New Roman" w:cs="Times New Roman"/>
          <w:b/>
          <w:color w:val="00B0F0"/>
          <w:sz w:val="24"/>
          <w:szCs w:val="24"/>
        </w:rPr>
      </w:pPr>
      <w:r>
        <w:rPr>
          <w:rFonts w:ascii="Times New Roman" w:eastAsia="Times New Roman" w:hAnsi="Times New Roman" w:cs="Times New Roman"/>
          <w:b/>
          <w:color w:val="00B0F0"/>
          <w:sz w:val="24"/>
          <w:szCs w:val="24"/>
        </w:rPr>
        <w:t>sociedades cooperativas;</w:t>
      </w:r>
      <w:r>
        <w:rPr>
          <w:rFonts w:ascii="Times New Roman" w:eastAsia="Times New Roman" w:hAnsi="Times New Roman" w:cs="Times New Roman"/>
          <w:b/>
          <w:color w:val="00B0F0"/>
          <w:sz w:val="24"/>
          <w:szCs w:val="24"/>
          <w:vertAlign w:val="superscript"/>
        </w:rPr>
        <w:footnoteReference w:id="12"/>
      </w:r>
    </w:p>
    <w:p w:rsidR="008C7EA8" w:rsidRDefault="007C04D2">
      <w:pPr>
        <w:numPr>
          <w:ilvl w:val="2"/>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empresas</w:t>
      </w:r>
      <w:proofErr w:type="gramEnd"/>
      <w:r>
        <w:rPr>
          <w:rFonts w:ascii="Times New Roman" w:eastAsia="Times New Roman" w:hAnsi="Times New Roman" w:cs="Times New Roman"/>
          <w:sz w:val="24"/>
          <w:szCs w:val="24"/>
        </w:rPr>
        <w:t xml:space="preserve"> estrangeiras que não tenham representação legal no Brasil com poderes expressos para receber citação e responder administrativa ou judicialmente;</w:t>
      </w:r>
    </w:p>
    <w:p w:rsidR="008C7EA8" w:rsidRDefault="007C04D2">
      <w:pPr>
        <w:numPr>
          <w:ilvl w:val="2"/>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autor</w:t>
      </w:r>
      <w:proofErr w:type="gramEnd"/>
      <w:r>
        <w:rPr>
          <w:rFonts w:ascii="Times New Roman" w:eastAsia="Times New Roman" w:hAnsi="Times New Roman" w:cs="Times New Roman"/>
          <w:sz w:val="24"/>
          <w:szCs w:val="24"/>
        </w:rPr>
        <w:t xml:space="preserve"> do anteprojeto, do projeto básico ou do projeto executivo, pessoa física ou jurídica, quando a </w:t>
      </w:r>
      <w:r>
        <w:rPr>
          <w:rFonts w:ascii="Times New Roman" w:eastAsia="Times New Roman" w:hAnsi="Times New Roman" w:cs="Times New Roman"/>
          <w:sz w:val="24"/>
          <w:szCs w:val="24"/>
        </w:rPr>
        <w:t>licitação versar sobre serviços ou fornecimento de bens a ele relacionados;</w:t>
      </w:r>
    </w:p>
    <w:p w:rsidR="008C7EA8" w:rsidRDefault="007C04D2">
      <w:pPr>
        <w:numPr>
          <w:ilvl w:val="2"/>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bookmarkStart w:id="6" w:name="_heading=h.3znysh7" w:colFirst="0" w:colLast="0"/>
      <w:bookmarkEnd w:id="6"/>
      <w:proofErr w:type="gramStart"/>
      <w:r>
        <w:rPr>
          <w:rFonts w:ascii="Times New Roman" w:eastAsia="Times New Roman" w:hAnsi="Times New Roman" w:cs="Times New Roman"/>
          <w:sz w:val="24"/>
          <w:szCs w:val="24"/>
        </w:rPr>
        <w:lastRenderedPageBreak/>
        <w:t>empresa</w:t>
      </w:r>
      <w:proofErr w:type="gramEnd"/>
      <w:r>
        <w:rPr>
          <w:rFonts w:ascii="Times New Roman" w:eastAsia="Times New Roman" w:hAnsi="Times New Roman" w:cs="Times New Roman"/>
          <w:sz w:val="24"/>
          <w:szCs w:val="24"/>
        </w:rPr>
        <w:t>, isoladamente ou em consórcio, responsável pela elaboração do projeto básico ou do projeto executivo, ou empresa da qual o autor do projeto seja dirigente, gerente, control</w:t>
      </w:r>
      <w:r>
        <w:rPr>
          <w:rFonts w:ascii="Times New Roman" w:eastAsia="Times New Roman" w:hAnsi="Times New Roman" w:cs="Times New Roman"/>
          <w:sz w:val="24"/>
          <w:szCs w:val="24"/>
        </w:rPr>
        <w:t>ador, acionista ou detentor de mais de 5% (cinco por cento) do capital com direito a voto, responsável técnico ou subcontratado, quando a licitação versar sobre serviços ou fornecimento de bens a ela necessários;</w:t>
      </w:r>
    </w:p>
    <w:p w:rsidR="008C7EA8" w:rsidRDefault="007C04D2">
      <w:pPr>
        <w:numPr>
          <w:ilvl w:val="2"/>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bookmarkStart w:id="7" w:name="_heading=h.2et92p0" w:colFirst="0" w:colLast="0"/>
      <w:bookmarkEnd w:id="7"/>
      <w:proofErr w:type="gramStart"/>
      <w:r>
        <w:rPr>
          <w:rFonts w:ascii="Times New Roman" w:eastAsia="Times New Roman" w:hAnsi="Times New Roman" w:cs="Times New Roman"/>
          <w:sz w:val="24"/>
          <w:szCs w:val="24"/>
        </w:rPr>
        <w:t>pessoa</w:t>
      </w:r>
      <w:proofErr w:type="gramEnd"/>
      <w:r>
        <w:rPr>
          <w:rFonts w:ascii="Times New Roman" w:eastAsia="Times New Roman" w:hAnsi="Times New Roman" w:cs="Times New Roman"/>
          <w:sz w:val="24"/>
          <w:szCs w:val="24"/>
        </w:rPr>
        <w:t xml:space="preserve"> física ou jurídica que se encontre, </w:t>
      </w:r>
      <w:r>
        <w:rPr>
          <w:rFonts w:ascii="Times New Roman" w:eastAsia="Times New Roman" w:hAnsi="Times New Roman" w:cs="Times New Roman"/>
          <w:sz w:val="24"/>
          <w:szCs w:val="24"/>
        </w:rPr>
        <w:t>ao tempo da licitação, impossibilitada de participar da licitação em decorrência de sanção que lhe foi imposta;</w:t>
      </w:r>
    </w:p>
    <w:p w:rsidR="008C7EA8" w:rsidRDefault="007C04D2">
      <w:pPr>
        <w:numPr>
          <w:ilvl w:val="2"/>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aquele</w:t>
      </w:r>
      <w:proofErr w:type="gramEnd"/>
      <w:r>
        <w:rPr>
          <w:rFonts w:ascii="Times New Roman" w:eastAsia="Times New Roman" w:hAnsi="Times New Roman" w:cs="Times New Roman"/>
          <w:sz w:val="24"/>
          <w:szCs w:val="24"/>
        </w:rPr>
        <w:t xml:space="preserve"> que mantenha vínculo de natureza técnica, comercial, econômica, financeira, trabalhista ou civil com dirigente do órgão ou entidade contr</w:t>
      </w:r>
      <w:r>
        <w:rPr>
          <w:rFonts w:ascii="Times New Roman" w:eastAsia="Times New Roman" w:hAnsi="Times New Roman" w:cs="Times New Roman"/>
          <w:sz w:val="24"/>
          <w:szCs w:val="24"/>
        </w:rPr>
        <w:t>atante ou com agente público que desempenhe função na licitação ou atue na fiscalização ou na gestão do Contrato, ou que deles seja cônjuge, companheiro ou parente em linha reta, colateral ou por afinidade, até o terceiro grau;</w:t>
      </w:r>
    </w:p>
    <w:p w:rsidR="008C7EA8" w:rsidRDefault="007C04D2">
      <w:pPr>
        <w:numPr>
          <w:ilvl w:val="2"/>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bookmarkStart w:id="8" w:name="_heading=h.tyjcwt" w:colFirst="0" w:colLast="0"/>
      <w:bookmarkEnd w:id="8"/>
      <w:proofErr w:type="gramStart"/>
      <w:r>
        <w:rPr>
          <w:rFonts w:ascii="Times New Roman" w:eastAsia="Times New Roman" w:hAnsi="Times New Roman" w:cs="Times New Roman"/>
          <w:sz w:val="24"/>
          <w:szCs w:val="24"/>
        </w:rPr>
        <w:t>empresas</w:t>
      </w:r>
      <w:proofErr w:type="gramEnd"/>
      <w:r>
        <w:rPr>
          <w:rFonts w:ascii="Times New Roman" w:eastAsia="Times New Roman" w:hAnsi="Times New Roman" w:cs="Times New Roman"/>
          <w:sz w:val="24"/>
          <w:szCs w:val="24"/>
        </w:rPr>
        <w:t xml:space="preserve"> controladoras, cont</w:t>
      </w:r>
      <w:r>
        <w:rPr>
          <w:rFonts w:ascii="Times New Roman" w:eastAsia="Times New Roman" w:hAnsi="Times New Roman" w:cs="Times New Roman"/>
          <w:sz w:val="24"/>
          <w:szCs w:val="24"/>
        </w:rPr>
        <w:t>roladas ou coligadas, nos termos da Lei nº 6.404, de 15 de dezembro de 1976, concorrendo entre si;</w:t>
      </w:r>
    </w:p>
    <w:p w:rsidR="008C7EA8" w:rsidRDefault="007C04D2">
      <w:pPr>
        <w:numPr>
          <w:ilvl w:val="2"/>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pessoa</w:t>
      </w:r>
      <w:proofErr w:type="gramEnd"/>
      <w:r>
        <w:rPr>
          <w:rFonts w:ascii="Times New Roman" w:eastAsia="Times New Roman" w:hAnsi="Times New Roman" w:cs="Times New Roman"/>
          <w:sz w:val="24"/>
          <w:szCs w:val="24"/>
        </w:rPr>
        <w:t xml:space="preserve"> física ou jurídica que, nos 05 (cinco) anos anteriores à divulgação do Edital, tenha sido condenada judicialmente, com trânsito em julgado, por explor</w:t>
      </w:r>
      <w:r>
        <w:rPr>
          <w:rFonts w:ascii="Times New Roman" w:eastAsia="Times New Roman" w:hAnsi="Times New Roman" w:cs="Times New Roman"/>
          <w:sz w:val="24"/>
          <w:szCs w:val="24"/>
        </w:rPr>
        <w:t>ação de trabalho infantil, por submissão de trabalhadores a condições análogas às de escravo ou por contratação de adolescentes nos casos vedados pela legislação trabalhista;</w:t>
      </w:r>
    </w:p>
    <w:p w:rsidR="008C7EA8" w:rsidRDefault="007C04D2">
      <w:pPr>
        <w:numPr>
          <w:ilvl w:val="2"/>
          <w:numId w:val="2"/>
        </w:numPr>
        <w:tabs>
          <w:tab w:val="left" w:pos="1418"/>
          <w:tab w:val="left" w:pos="1701"/>
        </w:tabs>
        <w:spacing w:line="360" w:lineRule="auto"/>
        <w:ind w:left="0" w:firstLine="0"/>
        <w:jc w:val="both"/>
        <w:rPr>
          <w:rFonts w:ascii="Times New Roman" w:eastAsia="Times New Roman" w:hAnsi="Times New Roman" w:cs="Times New Roman"/>
          <w:b/>
          <w:color w:val="00B0F0"/>
          <w:sz w:val="24"/>
          <w:szCs w:val="24"/>
        </w:rPr>
      </w:pPr>
      <w:bookmarkStart w:id="9" w:name="_heading=h.3dy6vkm" w:colFirst="0" w:colLast="0"/>
      <w:bookmarkEnd w:id="9"/>
      <w:r>
        <w:rPr>
          <w:rFonts w:ascii="Times New Roman" w:eastAsia="Times New Roman" w:hAnsi="Times New Roman" w:cs="Times New Roman"/>
          <w:b/>
          <w:color w:val="00B0F0"/>
          <w:sz w:val="24"/>
          <w:szCs w:val="24"/>
        </w:rPr>
        <w:t>pessoas jurídicas reunidas em consórcio;</w:t>
      </w:r>
      <w:r>
        <w:rPr>
          <w:rFonts w:ascii="Times New Roman" w:eastAsia="Times New Roman" w:hAnsi="Times New Roman" w:cs="Times New Roman"/>
          <w:b/>
          <w:color w:val="00B0F0"/>
          <w:sz w:val="24"/>
          <w:szCs w:val="24"/>
          <w:vertAlign w:val="superscript"/>
        </w:rPr>
        <w:footnoteReference w:id="13"/>
      </w:r>
    </w:p>
    <w:p w:rsidR="008C7EA8" w:rsidRDefault="007C04D2">
      <w:pPr>
        <w:numPr>
          <w:ilvl w:val="2"/>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Organizações da Sociedade Civil de Inte</w:t>
      </w:r>
      <w:r>
        <w:rPr>
          <w:rFonts w:ascii="Times New Roman" w:eastAsia="Times New Roman" w:hAnsi="Times New Roman" w:cs="Times New Roman"/>
          <w:sz w:val="24"/>
          <w:szCs w:val="24"/>
        </w:rPr>
        <w:t>resse Público – OSCIP, atuando nessa condição;</w:t>
      </w:r>
    </w:p>
    <w:p w:rsidR="008C7EA8" w:rsidRDefault="007C04D2">
      <w:pPr>
        <w:numPr>
          <w:ilvl w:val="2"/>
          <w:numId w:val="2"/>
        </w:numPr>
        <w:tabs>
          <w:tab w:val="left" w:pos="1418"/>
          <w:tab w:val="left" w:pos="1701"/>
        </w:tabs>
        <w:spacing w:line="360" w:lineRule="auto"/>
        <w:ind w:left="0" w:firstLine="0"/>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O agricultor familiar e o produtor rural pessoa física.</w:t>
      </w:r>
      <w:r>
        <w:rPr>
          <w:rFonts w:ascii="Times New Roman" w:eastAsia="Times New Roman" w:hAnsi="Times New Roman" w:cs="Times New Roman"/>
          <w:b/>
          <w:color w:val="FF0000"/>
          <w:sz w:val="24"/>
          <w:szCs w:val="24"/>
          <w:vertAlign w:val="superscript"/>
        </w:rPr>
        <w:footnoteReference w:id="14"/>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bookmarkStart w:id="10" w:name="_heading=h.1hmsyys" w:colFirst="0" w:colLast="0"/>
      <w:bookmarkEnd w:id="10"/>
      <w:r>
        <w:rPr>
          <w:rFonts w:ascii="Times New Roman" w:eastAsia="Times New Roman" w:hAnsi="Times New Roman" w:cs="Times New Roman"/>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w:t>
      </w:r>
      <w:r>
        <w:rPr>
          <w:rFonts w:ascii="Times New Roman" w:eastAsia="Times New Roman" w:hAnsi="Times New Roman" w:cs="Times New Roman"/>
          <w:sz w:val="24"/>
          <w:szCs w:val="24"/>
        </w:rPr>
        <w:t xml:space="preserve">rgo ou </w:t>
      </w:r>
      <w:r>
        <w:rPr>
          <w:rFonts w:ascii="Times New Roman" w:eastAsia="Times New Roman" w:hAnsi="Times New Roman" w:cs="Times New Roman"/>
          <w:sz w:val="24"/>
          <w:szCs w:val="24"/>
        </w:rPr>
        <w:lastRenderedPageBreak/>
        <w:t>emprego, nos termos da legislação que disciplina a matéria, conforme § 1º do art. 9º da Lei nº 14.133, de 2021.</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 impedimento de que trata o item 3.10.7 será também aplicado ao licitante que atue em substituição a outra pessoa, física ou jurídica, c</w:t>
      </w:r>
      <w:r>
        <w:rPr>
          <w:rFonts w:ascii="Times New Roman" w:eastAsia="Times New Roman" w:hAnsi="Times New Roman" w:cs="Times New Roman"/>
          <w:sz w:val="24"/>
          <w:szCs w:val="24"/>
        </w:rPr>
        <w:t>om o intuito de burlar a efetividade da sanção a ela aplicada, inclusive a sua controladora, controlada ou coligada, desde que devidamente comprovado o ilícito ou a utilização fraudulenta da personalidade jurídica do licitante.</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critério da Administração </w:t>
      </w:r>
      <w:r>
        <w:rPr>
          <w:rFonts w:ascii="Times New Roman" w:eastAsia="Times New Roman" w:hAnsi="Times New Roman" w:cs="Times New Roman"/>
          <w:sz w:val="24"/>
          <w:szCs w:val="24"/>
        </w:rPr>
        <w:t>e exclusivamente a seu serviço, o autor dos projetos e a empresa a que se referem os itens 3.10.5 e 3.10.6 poderão participar no apoio das atividades de planejamento da contratação, de execução da licitação ou de gestão do Contrato, desde que sob supervisã</w:t>
      </w:r>
      <w:r>
        <w:rPr>
          <w:rFonts w:ascii="Times New Roman" w:eastAsia="Times New Roman" w:hAnsi="Times New Roman" w:cs="Times New Roman"/>
          <w:sz w:val="24"/>
          <w:szCs w:val="24"/>
        </w:rPr>
        <w:t>o exclusiva de agentes públicos do órgão ou entidade.</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Equiparam-se aos autores do projeto as empresas integrantes do mesmo grupo econômico.</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 disposto nos itens 3.10.5 e 3.10.6 não impede a licitação ou a contratação de serviço que inclua como encargo do c</w:t>
      </w:r>
      <w:r>
        <w:rPr>
          <w:rFonts w:ascii="Times New Roman" w:eastAsia="Times New Roman" w:hAnsi="Times New Roman" w:cs="Times New Roman"/>
          <w:sz w:val="24"/>
          <w:szCs w:val="24"/>
        </w:rPr>
        <w:t>ontratado a elaboração do projeto básico e do projeto executivo, nas contratações integradas, e do projeto executivo, nos demais regimes de execução.</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 licitações e contratações realizadas no âmbito de projetos e programas parcialmente financiados por agê</w:t>
      </w:r>
      <w:r>
        <w:rPr>
          <w:rFonts w:ascii="Times New Roman" w:eastAsia="Times New Roman" w:hAnsi="Times New Roman" w:cs="Times New Roman"/>
          <w:sz w:val="24"/>
          <w:szCs w:val="24"/>
        </w:rPr>
        <w:t>ncia oficial de cooperação estrangeira ou por organismo financeiro internacional com recursos do financiamento ou da contrapartida nacional, não poderá participar pessoa física ou jurídica que integre o rol de pessoas sancionadas por essas entidades ou que</w:t>
      </w:r>
      <w:r>
        <w:rPr>
          <w:rFonts w:ascii="Times New Roman" w:eastAsia="Times New Roman" w:hAnsi="Times New Roman" w:cs="Times New Roman"/>
          <w:sz w:val="24"/>
          <w:szCs w:val="24"/>
        </w:rPr>
        <w:t xml:space="preserve"> seja declarada inidônea nos termos da </w:t>
      </w:r>
      <w:hyperlink r:id="rId17">
        <w:r>
          <w:rPr>
            <w:rFonts w:ascii="Times New Roman" w:eastAsia="Times New Roman" w:hAnsi="Times New Roman" w:cs="Times New Roman"/>
            <w:sz w:val="24"/>
            <w:szCs w:val="24"/>
          </w:rPr>
          <w:t>Lei nº 14.133/2021</w:t>
        </w:r>
      </w:hyperlink>
      <w:r>
        <w:rPr>
          <w:rFonts w:ascii="Times New Roman" w:eastAsia="Times New Roman" w:hAnsi="Times New Roman" w:cs="Times New Roman"/>
          <w:sz w:val="24"/>
          <w:szCs w:val="24"/>
        </w:rPr>
        <w:t>.</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vedação de que trata o item 3.11 estende-se a terceiro que auxilie a condução da contratação na qualidade</w:t>
      </w:r>
      <w:r>
        <w:rPr>
          <w:rFonts w:ascii="Times New Roman" w:eastAsia="Times New Roman" w:hAnsi="Times New Roman" w:cs="Times New Roman"/>
          <w:sz w:val="24"/>
          <w:szCs w:val="24"/>
        </w:rPr>
        <w:t xml:space="preserve"> de integrante de equipe de apoio, profissional especializado ou funcionário ou representante de empresa que preste assessoria técnica.</w:t>
      </w:r>
    </w:p>
    <w:p w:rsidR="008C7EA8" w:rsidRDefault="008C7EA8">
      <w:pPr>
        <w:tabs>
          <w:tab w:val="left" w:pos="1418"/>
          <w:tab w:val="left" w:pos="1701"/>
        </w:tabs>
        <w:spacing w:line="360" w:lineRule="auto"/>
        <w:jc w:val="both"/>
        <w:rPr>
          <w:rFonts w:ascii="Times New Roman" w:eastAsia="Times New Roman" w:hAnsi="Times New Roman" w:cs="Times New Roman"/>
          <w:sz w:val="24"/>
          <w:szCs w:val="24"/>
        </w:rPr>
      </w:pPr>
    </w:p>
    <w:p w:rsidR="008C7EA8" w:rsidRDefault="007C04D2">
      <w:pPr>
        <w:numPr>
          <w:ilvl w:val="0"/>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strike/>
          <w:sz w:val="24"/>
          <w:szCs w:val="24"/>
        </w:rPr>
      </w:pPr>
      <w:bookmarkStart w:id="11" w:name="_heading=h.41mghml" w:colFirst="0" w:colLast="0"/>
      <w:bookmarkEnd w:id="11"/>
      <w:r>
        <w:rPr>
          <w:rFonts w:ascii="Times New Roman" w:eastAsia="Times New Roman" w:hAnsi="Times New Roman" w:cs="Times New Roman"/>
          <w:b/>
          <w:strike/>
          <w:sz w:val="24"/>
          <w:szCs w:val="24"/>
        </w:rPr>
        <w:t>DO ORÇAMENTO ESTIMADO</w:t>
      </w:r>
    </w:p>
    <w:p w:rsidR="008C7EA8" w:rsidRDefault="008C7EA8">
      <w:pPr>
        <w:tabs>
          <w:tab w:val="left" w:pos="1418"/>
          <w:tab w:val="left" w:pos="1701"/>
        </w:tabs>
        <w:spacing w:line="360" w:lineRule="auto"/>
        <w:jc w:val="both"/>
        <w:rPr>
          <w:rFonts w:ascii="Times New Roman" w:eastAsia="Times New Roman" w:hAnsi="Times New Roman" w:cs="Times New Roman"/>
          <w:strike/>
          <w:sz w:val="24"/>
          <w:szCs w:val="24"/>
        </w:rPr>
      </w:pP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 orçamento estimado da presente contratação não será de caráter sigiloso.</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trike/>
          <w:sz w:val="24"/>
          <w:szCs w:val="24"/>
        </w:rPr>
      </w:pPr>
      <w:r>
        <w:rPr>
          <w:rFonts w:ascii="Times New Roman" w:eastAsia="Times New Roman" w:hAnsi="Times New Roman" w:cs="Times New Roman"/>
          <w:strike/>
          <w:sz w:val="24"/>
          <w:szCs w:val="24"/>
        </w:rPr>
        <w:t>O orçamento estimado da presente contratação será de caráter sigiloso.</w:t>
      </w:r>
      <w:r>
        <w:rPr>
          <w:rFonts w:ascii="Times New Roman" w:eastAsia="Times New Roman" w:hAnsi="Times New Roman" w:cs="Times New Roman"/>
          <w:strike/>
          <w:sz w:val="24"/>
          <w:szCs w:val="24"/>
          <w:vertAlign w:val="superscript"/>
        </w:rPr>
        <w:footnoteReference w:id="15"/>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trike/>
          <w:sz w:val="24"/>
          <w:szCs w:val="24"/>
        </w:rPr>
      </w:pPr>
      <w:r>
        <w:rPr>
          <w:rFonts w:ascii="Times New Roman" w:eastAsia="Times New Roman" w:hAnsi="Times New Roman" w:cs="Times New Roman"/>
          <w:strike/>
          <w:sz w:val="24"/>
          <w:szCs w:val="24"/>
        </w:rPr>
        <w:lastRenderedPageBreak/>
        <w:t>Para fins do disposto no item anterior, o orçamento estimado para a contratação não será tornado público antes de definido o resultado do julgamento das propostas.</w:t>
      </w:r>
      <w:r>
        <w:rPr>
          <w:rFonts w:ascii="Times New Roman" w:eastAsia="Times New Roman" w:hAnsi="Times New Roman" w:cs="Times New Roman"/>
          <w:strike/>
          <w:sz w:val="24"/>
          <w:szCs w:val="24"/>
          <w:vertAlign w:val="superscript"/>
        </w:rPr>
        <w:footnoteReference w:id="16"/>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trike/>
          <w:sz w:val="24"/>
          <w:szCs w:val="24"/>
        </w:rPr>
      </w:pPr>
      <w:r>
        <w:rPr>
          <w:rFonts w:ascii="Times New Roman" w:eastAsia="Times New Roman" w:hAnsi="Times New Roman" w:cs="Times New Roman"/>
          <w:strike/>
          <w:sz w:val="24"/>
          <w:szCs w:val="24"/>
        </w:rPr>
        <w:t xml:space="preserve">O caráter sigiloso </w:t>
      </w:r>
      <w:r>
        <w:rPr>
          <w:rFonts w:ascii="Times New Roman" w:eastAsia="Times New Roman" w:hAnsi="Times New Roman" w:cs="Times New Roman"/>
          <w:strike/>
          <w:sz w:val="24"/>
          <w:szCs w:val="24"/>
        </w:rPr>
        <w:t>do orçamento estimado para a contratação não prevalecerá para os órgãos de controle interno e externo.</w:t>
      </w:r>
      <w:r>
        <w:rPr>
          <w:rFonts w:ascii="Times New Roman" w:eastAsia="Times New Roman" w:hAnsi="Times New Roman" w:cs="Times New Roman"/>
          <w:strike/>
          <w:sz w:val="24"/>
          <w:szCs w:val="24"/>
          <w:vertAlign w:val="superscript"/>
        </w:rPr>
        <w:footnoteReference w:id="17"/>
      </w:r>
    </w:p>
    <w:p w:rsidR="008C7EA8" w:rsidRDefault="008C7EA8">
      <w:pPr>
        <w:tabs>
          <w:tab w:val="left" w:pos="1418"/>
          <w:tab w:val="left" w:pos="1701"/>
        </w:tabs>
        <w:spacing w:line="360" w:lineRule="auto"/>
        <w:jc w:val="both"/>
        <w:rPr>
          <w:rFonts w:ascii="Times New Roman" w:eastAsia="Times New Roman" w:hAnsi="Times New Roman" w:cs="Times New Roman"/>
          <w:sz w:val="24"/>
          <w:szCs w:val="24"/>
        </w:rPr>
      </w:pPr>
    </w:p>
    <w:p w:rsidR="008C7EA8" w:rsidRDefault="007C04D2">
      <w:pPr>
        <w:numPr>
          <w:ilvl w:val="0"/>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0000"/>
          <w:sz w:val="24"/>
          <w:szCs w:val="24"/>
        </w:rPr>
      </w:pPr>
      <w:bookmarkStart w:id="12" w:name="_heading=h.h1xo8qj962sr" w:colFirst="0" w:colLast="0"/>
      <w:bookmarkEnd w:id="12"/>
      <w:r>
        <w:rPr>
          <w:rFonts w:ascii="Times New Roman" w:eastAsia="Times New Roman" w:hAnsi="Times New Roman" w:cs="Times New Roman"/>
          <w:b/>
          <w:color w:val="000000"/>
          <w:sz w:val="24"/>
          <w:szCs w:val="24"/>
        </w:rPr>
        <w:t>DA APRESENTAÇÃO DA PROPOSTA E DOS DOCUMENTOS DE HABILITAÇÃO</w:t>
      </w:r>
    </w:p>
    <w:p w:rsidR="008C7EA8" w:rsidRDefault="008C7EA8">
      <w:pPr>
        <w:tabs>
          <w:tab w:val="left" w:pos="1418"/>
          <w:tab w:val="left" w:pos="1701"/>
        </w:tabs>
        <w:spacing w:line="360" w:lineRule="auto"/>
        <w:jc w:val="both"/>
        <w:rPr>
          <w:rFonts w:ascii="Times New Roman" w:eastAsia="Times New Roman" w:hAnsi="Times New Roman" w:cs="Times New Roman"/>
          <w:sz w:val="24"/>
          <w:szCs w:val="24"/>
        </w:rPr>
      </w:pP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 presente licitação, a fase de habilitação sucederá as fases de apresentação de propostas e lances e de julgamento.</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bookmarkStart w:id="13" w:name="_heading=h.1t3h5sf" w:colFirst="0" w:colLast="0"/>
      <w:bookmarkEnd w:id="13"/>
      <w:r>
        <w:rPr>
          <w:rFonts w:ascii="Times New Roman" w:eastAsia="Times New Roman" w:hAnsi="Times New Roman" w:cs="Times New Roman"/>
          <w:sz w:val="24"/>
          <w:szCs w:val="24"/>
        </w:rPr>
        <w:t xml:space="preserve">Os licitantes encaminharão, exclusivamente por meio do sistema eletrônico, a proposta com o preço ou o percentual de desconto, conforme o </w:t>
      </w:r>
      <w:r>
        <w:rPr>
          <w:rFonts w:ascii="Times New Roman" w:eastAsia="Times New Roman" w:hAnsi="Times New Roman" w:cs="Times New Roman"/>
          <w:sz w:val="24"/>
          <w:szCs w:val="24"/>
        </w:rPr>
        <w:t>critério de julgamento adotado neste Edital, até a data e o horário estabelecidos para abertura da sessão pública.</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bookmarkStart w:id="14" w:name="_heading=h.4d34og8" w:colFirst="0" w:colLast="0"/>
      <w:bookmarkEnd w:id="14"/>
      <w:r>
        <w:rPr>
          <w:rFonts w:ascii="Times New Roman" w:eastAsia="Times New Roman" w:hAnsi="Times New Roman" w:cs="Times New Roman"/>
          <w:sz w:val="24"/>
          <w:szCs w:val="24"/>
        </w:rPr>
        <w:t>Caso a fase de habilitação anteceda as fases de apresentação de propostas e lances, os licitantes encaminharão, na forma e no prazo estabelec</w:t>
      </w:r>
      <w:r>
        <w:rPr>
          <w:rFonts w:ascii="Times New Roman" w:eastAsia="Times New Roman" w:hAnsi="Times New Roman" w:cs="Times New Roman"/>
          <w:sz w:val="24"/>
          <w:szCs w:val="24"/>
        </w:rPr>
        <w:t>idos no item anterior, simultaneamente os documentos de habilitação e a proposta com o preço ou o percentual de desconto, observado o disposto nos itens 9.1.1 e 9.13.1 deste Edital.</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bookmarkStart w:id="15" w:name="_heading=h.2s8eyo1" w:colFirst="0" w:colLast="0"/>
      <w:bookmarkEnd w:id="15"/>
      <w:r>
        <w:rPr>
          <w:rFonts w:ascii="Times New Roman" w:eastAsia="Times New Roman" w:hAnsi="Times New Roman" w:cs="Times New Roman"/>
          <w:sz w:val="24"/>
          <w:szCs w:val="24"/>
        </w:rPr>
        <w:t>No cadastramento da proposta inicial, o licitante declarará, em campo próp</w:t>
      </w:r>
      <w:r>
        <w:rPr>
          <w:rFonts w:ascii="Times New Roman" w:eastAsia="Times New Roman" w:hAnsi="Times New Roman" w:cs="Times New Roman"/>
          <w:sz w:val="24"/>
          <w:szCs w:val="24"/>
        </w:rPr>
        <w:t>rio do sistema, que:</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está</w:t>
      </w:r>
      <w:proofErr w:type="gramEnd"/>
      <w:r>
        <w:rPr>
          <w:rFonts w:ascii="Times New Roman" w:eastAsia="Times New Roman" w:hAnsi="Times New Roman" w:cs="Times New Roman"/>
          <w:color w:val="000000"/>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w:t>
      </w:r>
      <w:r>
        <w:rPr>
          <w:rFonts w:ascii="Times New Roman" w:eastAsia="Times New Roman" w:hAnsi="Times New Roman" w:cs="Times New Roman"/>
          <w:color w:val="000000"/>
          <w:sz w:val="24"/>
          <w:szCs w:val="24"/>
        </w:rPr>
        <w:t>s normas infralegais, nas convenções coletivas de trabalho e nos termos de ajustamento de conduta vigentes na data de sua entrega em definitivo e que cumpre plenamente os requisitos de habilitação definidos no instrumento convocatório;</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não emprega menor de</w:t>
      </w:r>
      <w:r>
        <w:rPr>
          <w:rFonts w:ascii="Times New Roman" w:eastAsia="Times New Roman" w:hAnsi="Times New Roman" w:cs="Times New Roman"/>
          <w:color w:val="000000"/>
          <w:sz w:val="24"/>
          <w:szCs w:val="24"/>
        </w:rPr>
        <w:t xml:space="preserve"> 18 (dezoito) anos em trabalho noturno, perigoso ou insalubre e não emprega menor de 16 (dezesseis) anos, salvo menor, a partir de 14 (quatorze) anos, na condição de aprendiz, nos termos do </w:t>
      </w:r>
      <w:hyperlink r:id="rId18" w:anchor="art7">
        <w:r>
          <w:rPr>
            <w:rFonts w:ascii="Times New Roman" w:eastAsia="Times New Roman" w:hAnsi="Times New Roman" w:cs="Times New Roman"/>
            <w:color w:val="000000"/>
            <w:sz w:val="24"/>
            <w:szCs w:val="24"/>
          </w:rPr>
          <w:t>artigo 7°, XXXIII, da Constituição</w:t>
        </w:r>
      </w:hyperlink>
      <w:r>
        <w:rPr>
          <w:rFonts w:ascii="Times New Roman" w:eastAsia="Times New Roman" w:hAnsi="Times New Roman" w:cs="Times New Roman"/>
          <w:color w:val="000000"/>
          <w:sz w:val="24"/>
          <w:szCs w:val="24"/>
        </w:rPr>
        <w:t xml:space="preserve"> Federal;</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não possui empregados executando trabalho degradante ou forçado, observando o disposto nos </w:t>
      </w:r>
      <w:hyperlink r:id="rId19">
        <w:r>
          <w:rPr>
            <w:rFonts w:ascii="Times New Roman" w:eastAsia="Times New Roman" w:hAnsi="Times New Roman" w:cs="Times New Roman"/>
            <w:color w:val="000000"/>
            <w:sz w:val="24"/>
            <w:szCs w:val="24"/>
          </w:rPr>
          <w:t>incisos III e IV do art. 1º e no inciso III do art. 5º da Constituição Federal</w:t>
        </w:r>
      </w:hyperlink>
      <w:r>
        <w:rPr>
          <w:rFonts w:ascii="Times New Roman" w:eastAsia="Times New Roman" w:hAnsi="Times New Roman" w:cs="Times New Roman"/>
          <w:color w:val="000000"/>
          <w:sz w:val="24"/>
          <w:szCs w:val="24"/>
        </w:rPr>
        <w:t>;</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cumpre</w:t>
      </w:r>
      <w:proofErr w:type="gramEnd"/>
      <w:r>
        <w:rPr>
          <w:rFonts w:ascii="Times New Roman" w:eastAsia="Times New Roman" w:hAnsi="Times New Roman" w:cs="Times New Roman"/>
          <w:color w:val="000000"/>
          <w:sz w:val="24"/>
          <w:szCs w:val="24"/>
        </w:rPr>
        <w:t xml:space="preserve"> as exigências de reserva de cargos para pessoa com deficiência e para reabilitado da Previdência Social, previstas em lei e em outras normas específicas.</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b/>
          <w:strike/>
          <w:sz w:val="24"/>
          <w:szCs w:val="24"/>
        </w:rPr>
      </w:pPr>
      <w:r>
        <w:rPr>
          <w:rFonts w:ascii="Times New Roman" w:eastAsia="Times New Roman" w:hAnsi="Times New Roman" w:cs="Times New Roman"/>
          <w:strike/>
          <w:sz w:val="24"/>
          <w:szCs w:val="24"/>
        </w:rPr>
        <w:t xml:space="preserve">O licitante organizado em cooperativa deverá declarar, ainda, em campo próprio do sistema eletrônico, que cumpre os requisitos estabelecidos no </w:t>
      </w:r>
      <w:hyperlink r:id="rId20" w:anchor="art16">
        <w:r>
          <w:rPr>
            <w:rFonts w:ascii="Times New Roman" w:eastAsia="Times New Roman" w:hAnsi="Times New Roman" w:cs="Times New Roman"/>
            <w:strike/>
            <w:color w:val="000000"/>
            <w:sz w:val="24"/>
            <w:szCs w:val="24"/>
          </w:rPr>
          <w:t>artigo 16 d</w:t>
        </w:r>
        <w:r>
          <w:rPr>
            <w:rFonts w:ascii="Times New Roman" w:eastAsia="Times New Roman" w:hAnsi="Times New Roman" w:cs="Times New Roman"/>
            <w:strike/>
            <w:color w:val="000000"/>
            <w:sz w:val="24"/>
            <w:szCs w:val="24"/>
          </w:rPr>
          <w:t>a Lei nº 14.133, de 2021</w:t>
        </w:r>
      </w:hyperlink>
      <w:r>
        <w:rPr>
          <w:rFonts w:ascii="Times New Roman" w:eastAsia="Times New Roman" w:hAnsi="Times New Roman" w:cs="Times New Roman"/>
          <w:b/>
          <w:strike/>
          <w:sz w:val="24"/>
          <w:szCs w:val="24"/>
        </w:rPr>
        <w:t>.</w:t>
      </w:r>
      <w:r>
        <w:rPr>
          <w:rFonts w:ascii="Times New Roman" w:eastAsia="Times New Roman" w:hAnsi="Times New Roman" w:cs="Times New Roman"/>
          <w:b/>
          <w:strike/>
          <w:sz w:val="24"/>
          <w:szCs w:val="24"/>
          <w:vertAlign w:val="superscript"/>
        </w:rPr>
        <w:footnoteReference w:id="18"/>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trike/>
          <w:sz w:val="24"/>
          <w:szCs w:val="24"/>
        </w:rPr>
      </w:pPr>
      <w:r>
        <w:rPr>
          <w:rFonts w:ascii="Times New Roman" w:eastAsia="Times New Roman" w:hAnsi="Times New Roman" w:cs="Times New Roman"/>
          <w:strike/>
          <w:sz w:val="24"/>
          <w:szCs w:val="24"/>
        </w:rPr>
        <w:t>O licitante deverá declarar em campo próprio do sistema se o produto ou serviço ofertado é manufaturado nacional beneficiado por um dos critérios de margem de preferência indicados no Termo de Referência, quando for o caso, para usufruir do benefício.</w:t>
      </w:r>
      <w:r>
        <w:rPr>
          <w:rFonts w:ascii="Times New Roman" w:eastAsia="Times New Roman" w:hAnsi="Times New Roman" w:cs="Times New Roman"/>
          <w:strike/>
          <w:sz w:val="24"/>
          <w:szCs w:val="24"/>
          <w:vertAlign w:val="superscript"/>
        </w:rPr>
        <w:footnoteReference w:id="19"/>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b/>
          <w:color w:val="00B050"/>
          <w:sz w:val="24"/>
          <w:szCs w:val="24"/>
        </w:rPr>
      </w:pPr>
      <w:bookmarkStart w:id="16" w:name="_heading=h.17dp8vu" w:colFirst="0" w:colLast="0"/>
      <w:bookmarkEnd w:id="16"/>
      <w:r>
        <w:rPr>
          <w:rFonts w:ascii="Times New Roman" w:eastAsia="Times New Roman" w:hAnsi="Times New Roman" w:cs="Times New Roman"/>
          <w:b/>
          <w:color w:val="00B050"/>
          <w:sz w:val="24"/>
          <w:szCs w:val="24"/>
        </w:rPr>
        <w:t>O f</w:t>
      </w:r>
      <w:r>
        <w:rPr>
          <w:rFonts w:ascii="Times New Roman" w:eastAsia="Times New Roman" w:hAnsi="Times New Roman" w:cs="Times New Roman"/>
          <w:b/>
          <w:color w:val="00B050"/>
          <w:sz w:val="24"/>
          <w:szCs w:val="24"/>
        </w:rPr>
        <w:t xml:space="preserve">ornecedor enquadrado como microempresa ou empresa de pequeno porte deverá declarar, ainda, em campo próprio do sistema eletrônico, que cumpre os requisitos estabelecidos no </w:t>
      </w:r>
      <w:hyperlink r:id="rId21" w:anchor="art3">
        <w:r>
          <w:rPr>
            <w:rFonts w:ascii="Times New Roman" w:eastAsia="Times New Roman" w:hAnsi="Times New Roman" w:cs="Times New Roman"/>
            <w:b/>
            <w:color w:val="00B050"/>
            <w:sz w:val="24"/>
            <w:szCs w:val="24"/>
          </w:rPr>
          <w:t>artigo 3° da Lei Complementar nº 123, de 2006</w:t>
        </w:r>
      </w:hyperlink>
      <w:r>
        <w:rPr>
          <w:rFonts w:ascii="Times New Roman" w:eastAsia="Times New Roman" w:hAnsi="Times New Roman" w:cs="Times New Roman"/>
          <w:b/>
          <w:color w:val="00B050"/>
          <w:sz w:val="24"/>
          <w:szCs w:val="24"/>
        </w:rPr>
        <w:t xml:space="preserve">, estando apto a usufruir do tratamento favorecido estabelecido em seus </w:t>
      </w:r>
      <w:hyperlink r:id="rId22" w:anchor="art42">
        <w:r>
          <w:rPr>
            <w:rFonts w:ascii="Times New Roman" w:eastAsia="Times New Roman" w:hAnsi="Times New Roman" w:cs="Times New Roman"/>
            <w:b/>
            <w:color w:val="00B050"/>
            <w:sz w:val="24"/>
            <w:szCs w:val="24"/>
          </w:rPr>
          <w:t>arts. 42 a 49</w:t>
        </w:r>
      </w:hyperlink>
      <w:r>
        <w:rPr>
          <w:rFonts w:ascii="Times New Roman" w:eastAsia="Times New Roman" w:hAnsi="Times New Roman" w:cs="Times New Roman"/>
          <w:b/>
          <w:color w:val="00B050"/>
          <w:sz w:val="24"/>
          <w:szCs w:val="24"/>
        </w:rPr>
        <w:t xml:space="preserve">, observado o disposto nos </w:t>
      </w:r>
      <w:hyperlink r:id="rId23" w:anchor="art4%C2%A71">
        <w:r>
          <w:rPr>
            <w:rFonts w:ascii="Times New Roman" w:eastAsia="Times New Roman" w:hAnsi="Times New Roman" w:cs="Times New Roman"/>
            <w:b/>
            <w:color w:val="00B050"/>
            <w:sz w:val="24"/>
            <w:szCs w:val="24"/>
          </w:rPr>
          <w:t>§§ 1º ao 3º do art. 4º, da Lei n.º 14.133, de 2021.</w:t>
        </w:r>
      </w:hyperlink>
      <w:r>
        <w:rPr>
          <w:rFonts w:ascii="Times New Roman" w:eastAsia="Times New Roman" w:hAnsi="Times New Roman" w:cs="Times New Roman"/>
          <w:b/>
          <w:color w:val="00B050"/>
          <w:sz w:val="24"/>
          <w:szCs w:val="24"/>
          <w:vertAlign w:val="superscript"/>
        </w:rPr>
        <w:footnoteReference w:id="20"/>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no</w:t>
      </w:r>
      <w:proofErr w:type="gramEnd"/>
      <w:r>
        <w:rPr>
          <w:rFonts w:ascii="Times New Roman" w:eastAsia="Times New Roman" w:hAnsi="Times New Roman" w:cs="Times New Roman"/>
          <w:color w:val="000000"/>
          <w:sz w:val="24"/>
          <w:szCs w:val="24"/>
        </w:rPr>
        <w:t xml:space="preserve"> item exclusivo para participação de microempresas e empresas de pequeno porte, a assinalação do camp</w:t>
      </w:r>
      <w:r>
        <w:rPr>
          <w:rFonts w:ascii="Times New Roman" w:eastAsia="Times New Roman" w:hAnsi="Times New Roman" w:cs="Times New Roman"/>
          <w:color w:val="000000"/>
          <w:sz w:val="24"/>
          <w:szCs w:val="24"/>
        </w:rPr>
        <w:t>o “não” impedirá o prosseguimento no certame, para aquele item;</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b/>
          <w:color w:val="00B050"/>
          <w:sz w:val="24"/>
          <w:szCs w:val="24"/>
        </w:rPr>
      </w:pPr>
      <w:r>
        <w:rPr>
          <w:rFonts w:ascii="Times New Roman" w:eastAsia="Times New Roman" w:hAnsi="Times New Roman" w:cs="Times New Roman"/>
          <w:b/>
          <w:color w:val="00B050"/>
          <w:sz w:val="24"/>
          <w:szCs w:val="24"/>
        </w:rPr>
        <w:t>nos itens em que a participação não for exclusiva para microempresas e empresas de pequeno porte, a assinalação do campo “não” apenas produzirá o efeito de o licitante não ter direito ao trata</w:t>
      </w:r>
      <w:r>
        <w:rPr>
          <w:rFonts w:ascii="Times New Roman" w:eastAsia="Times New Roman" w:hAnsi="Times New Roman" w:cs="Times New Roman"/>
          <w:b/>
          <w:color w:val="00B050"/>
          <w:sz w:val="24"/>
          <w:szCs w:val="24"/>
        </w:rPr>
        <w:t xml:space="preserve">mento favorecido previsto na </w:t>
      </w:r>
      <w:hyperlink r:id="rId24">
        <w:r>
          <w:rPr>
            <w:rFonts w:ascii="Times New Roman" w:eastAsia="Times New Roman" w:hAnsi="Times New Roman" w:cs="Times New Roman"/>
            <w:b/>
            <w:color w:val="00B050"/>
            <w:sz w:val="24"/>
            <w:szCs w:val="24"/>
          </w:rPr>
          <w:t>Lei Complementar nº 123, de 2006</w:t>
        </w:r>
      </w:hyperlink>
      <w:r>
        <w:rPr>
          <w:rFonts w:ascii="Times New Roman" w:eastAsia="Times New Roman" w:hAnsi="Times New Roman" w:cs="Times New Roman"/>
          <w:b/>
          <w:color w:val="00B050"/>
          <w:sz w:val="24"/>
          <w:szCs w:val="24"/>
        </w:rPr>
        <w:t>, mesmo que microempresa ou empresa de pequeno porte.</w:t>
      </w:r>
      <w:r>
        <w:rPr>
          <w:rFonts w:ascii="Times New Roman" w:eastAsia="Times New Roman" w:hAnsi="Times New Roman" w:cs="Times New Roman"/>
          <w:b/>
          <w:color w:val="00B050"/>
          <w:sz w:val="24"/>
          <w:szCs w:val="24"/>
          <w:vertAlign w:val="superscript"/>
        </w:rPr>
        <w:footnoteReference w:id="21"/>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Não poderá se beneficiar do tratamento jurídico diferenciado estabelecido nos arts. 42 a 49 da Lei Complementar nº 123, de 2006, a pessoa jurídica:</w:t>
      </w:r>
    </w:p>
    <w:p w:rsidR="008C7EA8" w:rsidRDefault="007C04D2">
      <w:pPr>
        <w:numPr>
          <w:ilvl w:val="2"/>
          <w:numId w:val="2"/>
        </w:numPr>
        <w:pBdr>
          <w:top w:val="nil"/>
          <w:left w:val="nil"/>
          <w:bottom w:val="nil"/>
          <w:right w:val="nil"/>
          <w:between w:val="nil"/>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lastRenderedPageBreak/>
        <w:t>de</w:t>
      </w:r>
      <w:proofErr w:type="gramEnd"/>
      <w:r>
        <w:rPr>
          <w:rFonts w:ascii="Times New Roman" w:eastAsia="Times New Roman" w:hAnsi="Times New Roman" w:cs="Times New Roman"/>
          <w:color w:val="000000"/>
          <w:sz w:val="24"/>
          <w:szCs w:val="24"/>
        </w:rPr>
        <w:t xml:space="preserve"> cujo capital participe outra pessoa jurídica;</w:t>
      </w:r>
    </w:p>
    <w:p w:rsidR="008C7EA8" w:rsidRDefault="007C04D2">
      <w:pPr>
        <w:numPr>
          <w:ilvl w:val="2"/>
          <w:numId w:val="2"/>
        </w:numPr>
        <w:pBdr>
          <w:top w:val="nil"/>
          <w:left w:val="nil"/>
          <w:bottom w:val="nil"/>
          <w:right w:val="nil"/>
          <w:between w:val="nil"/>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que</w:t>
      </w:r>
      <w:proofErr w:type="gramEnd"/>
      <w:r>
        <w:rPr>
          <w:rFonts w:ascii="Times New Roman" w:eastAsia="Times New Roman" w:hAnsi="Times New Roman" w:cs="Times New Roman"/>
          <w:color w:val="000000"/>
          <w:sz w:val="24"/>
          <w:szCs w:val="24"/>
        </w:rPr>
        <w:t xml:space="preserve"> seja filial, sucursal, agência ou representação, no País, de pessoa jurídica com sede no exterior;</w:t>
      </w:r>
    </w:p>
    <w:p w:rsidR="008C7EA8" w:rsidRDefault="007C04D2">
      <w:pPr>
        <w:numPr>
          <w:ilvl w:val="2"/>
          <w:numId w:val="2"/>
        </w:numPr>
        <w:pBdr>
          <w:top w:val="nil"/>
          <w:left w:val="nil"/>
          <w:bottom w:val="nil"/>
          <w:right w:val="nil"/>
          <w:between w:val="nil"/>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de</w:t>
      </w:r>
      <w:proofErr w:type="gramEnd"/>
      <w:r>
        <w:rPr>
          <w:rFonts w:ascii="Times New Roman" w:eastAsia="Times New Roman" w:hAnsi="Times New Roman" w:cs="Times New Roman"/>
          <w:color w:val="000000"/>
          <w:sz w:val="24"/>
          <w:szCs w:val="24"/>
        </w:rPr>
        <w:t xml:space="preserve"> cujo capital participe pessoa física que seja inscrita como empresário ou seja sócia de outra empresa que receba tratamento jurídico diferenciado nos </w:t>
      </w:r>
      <w:r>
        <w:rPr>
          <w:rFonts w:ascii="Times New Roman" w:eastAsia="Times New Roman" w:hAnsi="Times New Roman" w:cs="Times New Roman"/>
          <w:color w:val="000000"/>
          <w:sz w:val="24"/>
          <w:szCs w:val="24"/>
        </w:rPr>
        <w:t>termos da Lei Complementar nº 123, de 2006, desde que a receita bruta global ultrapasse o limite de que trata o inciso II do art. 3º da referida lei;</w:t>
      </w:r>
    </w:p>
    <w:p w:rsidR="008C7EA8" w:rsidRDefault="007C04D2">
      <w:pPr>
        <w:numPr>
          <w:ilvl w:val="2"/>
          <w:numId w:val="2"/>
        </w:numPr>
        <w:pBdr>
          <w:top w:val="nil"/>
          <w:left w:val="nil"/>
          <w:bottom w:val="nil"/>
          <w:right w:val="nil"/>
          <w:between w:val="nil"/>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cujo</w:t>
      </w:r>
      <w:proofErr w:type="gramEnd"/>
      <w:r>
        <w:rPr>
          <w:rFonts w:ascii="Times New Roman" w:eastAsia="Times New Roman" w:hAnsi="Times New Roman" w:cs="Times New Roman"/>
          <w:color w:val="000000"/>
          <w:sz w:val="24"/>
          <w:szCs w:val="24"/>
        </w:rPr>
        <w:t xml:space="preserve"> titular ou sócio participe com mais de 10% (dez por cento) do capital de outra empresa não beneficiad</w:t>
      </w:r>
      <w:r>
        <w:rPr>
          <w:rFonts w:ascii="Times New Roman" w:eastAsia="Times New Roman" w:hAnsi="Times New Roman" w:cs="Times New Roman"/>
          <w:color w:val="000000"/>
          <w:sz w:val="24"/>
          <w:szCs w:val="24"/>
        </w:rPr>
        <w:t>a pela Lei Complementar nº 123, de 2006, desde que a receita bruta global ultrapasse o limite de que trata o inciso II do art. 3º da referida lei;</w:t>
      </w:r>
    </w:p>
    <w:p w:rsidR="008C7EA8" w:rsidRDefault="007C04D2">
      <w:pPr>
        <w:numPr>
          <w:ilvl w:val="2"/>
          <w:numId w:val="2"/>
        </w:numPr>
        <w:pBdr>
          <w:top w:val="nil"/>
          <w:left w:val="nil"/>
          <w:bottom w:val="nil"/>
          <w:right w:val="nil"/>
          <w:between w:val="nil"/>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cujo</w:t>
      </w:r>
      <w:proofErr w:type="gramEnd"/>
      <w:r>
        <w:rPr>
          <w:rFonts w:ascii="Times New Roman" w:eastAsia="Times New Roman" w:hAnsi="Times New Roman" w:cs="Times New Roman"/>
          <w:color w:val="000000"/>
          <w:sz w:val="24"/>
          <w:szCs w:val="24"/>
        </w:rPr>
        <w:t xml:space="preserve"> sócio ou titular seja administrador ou equiparado de outra pessoa jurídica com fins lucrativos, desde qu</w:t>
      </w:r>
      <w:r>
        <w:rPr>
          <w:rFonts w:ascii="Times New Roman" w:eastAsia="Times New Roman" w:hAnsi="Times New Roman" w:cs="Times New Roman"/>
          <w:color w:val="000000"/>
          <w:sz w:val="24"/>
          <w:szCs w:val="24"/>
        </w:rPr>
        <w:t>e a receita bruta global ultrapasse o limite de que trata o inciso II do art. 3º da referida lei;</w:t>
      </w:r>
    </w:p>
    <w:p w:rsidR="008C7EA8" w:rsidRDefault="007C04D2">
      <w:pPr>
        <w:numPr>
          <w:ilvl w:val="2"/>
          <w:numId w:val="2"/>
        </w:numPr>
        <w:pBdr>
          <w:top w:val="nil"/>
          <w:left w:val="nil"/>
          <w:bottom w:val="nil"/>
          <w:right w:val="nil"/>
          <w:between w:val="nil"/>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constituída</w:t>
      </w:r>
      <w:proofErr w:type="gramEnd"/>
      <w:r>
        <w:rPr>
          <w:rFonts w:ascii="Times New Roman" w:eastAsia="Times New Roman" w:hAnsi="Times New Roman" w:cs="Times New Roman"/>
          <w:color w:val="000000"/>
          <w:sz w:val="24"/>
          <w:szCs w:val="24"/>
        </w:rPr>
        <w:t xml:space="preserve"> sob a forma de cooperativas, salvo as de consumo;</w:t>
      </w:r>
    </w:p>
    <w:p w:rsidR="008C7EA8" w:rsidRDefault="007C04D2">
      <w:pPr>
        <w:numPr>
          <w:ilvl w:val="2"/>
          <w:numId w:val="2"/>
        </w:numPr>
        <w:pBdr>
          <w:top w:val="nil"/>
          <w:left w:val="nil"/>
          <w:bottom w:val="nil"/>
          <w:right w:val="nil"/>
          <w:between w:val="nil"/>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que</w:t>
      </w:r>
      <w:proofErr w:type="gramEnd"/>
      <w:r>
        <w:rPr>
          <w:rFonts w:ascii="Times New Roman" w:eastAsia="Times New Roman" w:hAnsi="Times New Roman" w:cs="Times New Roman"/>
          <w:color w:val="000000"/>
          <w:sz w:val="24"/>
          <w:szCs w:val="24"/>
        </w:rPr>
        <w:t xml:space="preserve"> participe do capital de outra pessoa jurídica;</w:t>
      </w:r>
    </w:p>
    <w:p w:rsidR="008C7EA8" w:rsidRDefault="007C04D2">
      <w:pPr>
        <w:numPr>
          <w:ilvl w:val="2"/>
          <w:numId w:val="2"/>
        </w:numPr>
        <w:pBdr>
          <w:top w:val="nil"/>
          <w:left w:val="nil"/>
          <w:bottom w:val="nil"/>
          <w:right w:val="nil"/>
          <w:between w:val="nil"/>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que</w:t>
      </w:r>
      <w:proofErr w:type="gramEnd"/>
      <w:r>
        <w:rPr>
          <w:rFonts w:ascii="Times New Roman" w:eastAsia="Times New Roman" w:hAnsi="Times New Roman" w:cs="Times New Roman"/>
          <w:color w:val="000000"/>
          <w:sz w:val="24"/>
          <w:szCs w:val="24"/>
        </w:rPr>
        <w:t xml:space="preserve"> exerça atividade de banco comercial, de i</w:t>
      </w:r>
      <w:r>
        <w:rPr>
          <w:rFonts w:ascii="Times New Roman" w:eastAsia="Times New Roman" w:hAnsi="Times New Roman" w:cs="Times New Roman"/>
          <w:color w:val="000000"/>
          <w:sz w:val="24"/>
          <w:szCs w:val="24"/>
        </w:rPr>
        <w:t>nvestimentos e de desenvolvimento, de caixa econômica, de sociedade de crédito, financiamento e investimento ou de crédito imobiliário, de corretora ou de distribuidora de títulos, valores mobiliários e câmbio, de empresa de arrendamento mercantil, de segu</w:t>
      </w:r>
      <w:r>
        <w:rPr>
          <w:rFonts w:ascii="Times New Roman" w:eastAsia="Times New Roman" w:hAnsi="Times New Roman" w:cs="Times New Roman"/>
          <w:color w:val="000000"/>
          <w:sz w:val="24"/>
          <w:szCs w:val="24"/>
        </w:rPr>
        <w:t>ros privados e de capitalização ou de previdência complementar;</w:t>
      </w:r>
    </w:p>
    <w:p w:rsidR="008C7EA8" w:rsidRDefault="007C04D2">
      <w:pPr>
        <w:numPr>
          <w:ilvl w:val="2"/>
          <w:numId w:val="2"/>
        </w:numPr>
        <w:pBdr>
          <w:top w:val="nil"/>
          <w:left w:val="nil"/>
          <w:bottom w:val="nil"/>
          <w:right w:val="nil"/>
          <w:between w:val="nil"/>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resultante</w:t>
      </w:r>
      <w:proofErr w:type="gramEnd"/>
      <w:r>
        <w:rPr>
          <w:rFonts w:ascii="Times New Roman" w:eastAsia="Times New Roman" w:hAnsi="Times New Roman" w:cs="Times New Roman"/>
          <w:color w:val="000000"/>
          <w:sz w:val="24"/>
          <w:szCs w:val="24"/>
        </w:rPr>
        <w:t xml:space="preserve"> ou remanescente de cisão ou qualquer outra forma de desmembramento de pessoa jurídica que tenha ocorrido em um dos 05 (cinco) anos-calendário anteriores;</w:t>
      </w:r>
    </w:p>
    <w:p w:rsidR="008C7EA8" w:rsidRDefault="007C04D2">
      <w:pPr>
        <w:numPr>
          <w:ilvl w:val="2"/>
          <w:numId w:val="2"/>
        </w:numPr>
        <w:pBdr>
          <w:top w:val="nil"/>
          <w:left w:val="nil"/>
          <w:bottom w:val="nil"/>
          <w:right w:val="nil"/>
          <w:between w:val="nil"/>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constituída</w:t>
      </w:r>
      <w:proofErr w:type="gramEnd"/>
      <w:r>
        <w:rPr>
          <w:rFonts w:ascii="Times New Roman" w:eastAsia="Times New Roman" w:hAnsi="Times New Roman" w:cs="Times New Roman"/>
          <w:color w:val="000000"/>
          <w:sz w:val="24"/>
          <w:szCs w:val="24"/>
        </w:rPr>
        <w:t xml:space="preserve"> sob a forma de </w:t>
      </w:r>
      <w:r>
        <w:rPr>
          <w:rFonts w:ascii="Times New Roman" w:eastAsia="Times New Roman" w:hAnsi="Times New Roman" w:cs="Times New Roman"/>
          <w:color w:val="000000"/>
          <w:sz w:val="24"/>
          <w:szCs w:val="24"/>
        </w:rPr>
        <w:t>sociedade por ações.</w:t>
      </w:r>
    </w:p>
    <w:p w:rsidR="008C7EA8" w:rsidRDefault="007C04D2">
      <w:pPr>
        <w:numPr>
          <w:ilvl w:val="2"/>
          <w:numId w:val="2"/>
        </w:numPr>
        <w:pBdr>
          <w:top w:val="nil"/>
          <w:left w:val="nil"/>
          <w:bottom w:val="nil"/>
          <w:right w:val="nil"/>
          <w:between w:val="nil"/>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cujos</w:t>
      </w:r>
      <w:proofErr w:type="gramEnd"/>
      <w:r>
        <w:rPr>
          <w:rFonts w:ascii="Times New Roman" w:eastAsia="Times New Roman" w:hAnsi="Times New Roman" w:cs="Times New Roman"/>
          <w:color w:val="000000"/>
          <w:sz w:val="24"/>
          <w:szCs w:val="24"/>
        </w:rPr>
        <w:t xml:space="preserve"> titulares ou sócios guardem, cumulativamente, com o contratante do serviço, relação de pessoalidade, subordinação e habitualidade.</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falsidade da declaração de que trata os itens 5.4 ou 5.7 sujeitará o licitante às sanções previs</w:t>
      </w:r>
      <w:r>
        <w:rPr>
          <w:rFonts w:ascii="Times New Roman" w:eastAsia="Times New Roman" w:hAnsi="Times New Roman" w:cs="Times New Roman"/>
          <w:sz w:val="24"/>
          <w:szCs w:val="24"/>
        </w:rPr>
        <w:t xml:space="preserve">tas na </w:t>
      </w:r>
      <w:hyperlink r:id="rId25">
        <w:r>
          <w:rPr>
            <w:rFonts w:ascii="Times New Roman" w:eastAsia="Times New Roman" w:hAnsi="Times New Roman" w:cs="Times New Roman"/>
            <w:sz w:val="24"/>
            <w:szCs w:val="24"/>
          </w:rPr>
          <w:t>Lei nº 14.133, de 2021</w:t>
        </w:r>
      </w:hyperlink>
      <w:r>
        <w:rPr>
          <w:rFonts w:ascii="Times New Roman" w:eastAsia="Times New Roman" w:hAnsi="Times New Roman" w:cs="Times New Roman"/>
          <w:sz w:val="24"/>
          <w:szCs w:val="24"/>
        </w:rPr>
        <w:t>, e neste Edital.</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Os licitantes poderão retirar ou substituir a proposta ou, na hipótese de a fase de habilitação anteceder as fases de a</w:t>
      </w:r>
      <w:r>
        <w:rPr>
          <w:rFonts w:ascii="Times New Roman" w:eastAsia="Times New Roman" w:hAnsi="Times New Roman" w:cs="Times New Roman"/>
          <w:sz w:val="24"/>
          <w:szCs w:val="24"/>
        </w:rPr>
        <w:t>presentação de propostas e lances e de julgamento, os documentos de habilitação anteriormente inseridos no sistema, até a abertura da sessão pública.</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Não haverá ordem de classificação na etapa de apresentação da proposta e dos documentos de habilitação pel</w:t>
      </w:r>
      <w:r>
        <w:rPr>
          <w:rFonts w:ascii="Times New Roman" w:eastAsia="Times New Roman" w:hAnsi="Times New Roman" w:cs="Times New Roman"/>
          <w:sz w:val="24"/>
          <w:szCs w:val="24"/>
        </w:rPr>
        <w:t>o licitante, o que ocorrerá somente após os procedimentos de abertura da sessão pública e da fase de envio de lances.</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Serão disponibilizados para acesso público os documentos que compõem a proposta dos licitantes convocados para apresentação de propostas, </w:t>
      </w:r>
      <w:r>
        <w:rPr>
          <w:rFonts w:ascii="Times New Roman" w:eastAsia="Times New Roman" w:hAnsi="Times New Roman" w:cs="Times New Roman"/>
          <w:sz w:val="24"/>
          <w:szCs w:val="24"/>
        </w:rPr>
        <w:t>após a fase de envio de lances.</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bookmarkStart w:id="17" w:name="_heading=h.3rdcrjn" w:colFirst="0" w:colLast="0"/>
      <w:bookmarkEnd w:id="17"/>
      <w:r>
        <w:rPr>
          <w:rFonts w:ascii="Times New Roman" w:eastAsia="Times New Roman" w:hAnsi="Times New Roman"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a</w:t>
      </w:r>
      <w:proofErr w:type="gramEnd"/>
      <w:r>
        <w:rPr>
          <w:rFonts w:ascii="Times New Roman" w:eastAsia="Times New Roman" w:hAnsi="Times New Roman" w:cs="Times New Roman"/>
          <w:color w:val="000000"/>
          <w:sz w:val="24"/>
          <w:szCs w:val="24"/>
        </w:rPr>
        <w:t xml:space="preserve"> aplicação do intervalo mínimo de diferença de valores ou de percentuais entre os lances, que incidirá tanto em relação aos lances intermediários quanto em relação ao lance que cobrir a melhor oferta; e</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b/>
          <w:color w:val="00B050"/>
          <w:sz w:val="24"/>
          <w:szCs w:val="24"/>
        </w:rPr>
      </w:pPr>
      <w:r>
        <w:rPr>
          <w:rFonts w:ascii="Times New Roman" w:eastAsia="Times New Roman" w:hAnsi="Times New Roman" w:cs="Times New Roman"/>
          <w:b/>
          <w:color w:val="00B050"/>
          <w:sz w:val="24"/>
          <w:szCs w:val="24"/>
        </w:rPr>
        <w:t>caso o licitante utilize o sistema oficial previsto no art. 19 da Instrução Normativa SEGES nº 73, de 30 de setembro de 2022, os lances serão de envio automático pelo sistema, respeitada o maior desconto, caso estabelecida, e o intervalo de que trata o sub</w:t>
      </w:r>
      <w:r>
        <w:rPr>
          <w:rFonts w:ascii="Times New Roman" w:eastAsia="Times New Roman" w:hAnsi="Times New Roman" w:cs="Times New Roman"/>
          <w:b/>
          <w:color w:val="00B050"/>
          <w:sz w:val="24"/>
          <w:szCs w:val="24"/>
        </w:rPr>
        <w:t>item acima.</w:t>
      </w:r>
      <w:r>
        <w:rPr>
          <w:rFonts w:ascii="Times New Roman" w:eastAsia="Times New Roman" w:hAnsi="Times New Roman" w:cs="Times New Roman"/>
          <w:b/>
          <w:color w:val="00B050"/>
          <w:sz w:val="24"/>
          <w:szCs w:val="24"/>
          <w:vertAlign w:val="superscript"/>
        </w:rPr>
        <w:footnoteReference w:id="22"/>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 valor final mínimo ou o percentual de desconto final máximo parametrizado no sistema poderá ser alterado pelo fornecedor durante a fase de disputa, sendo vedado:</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b/>
          <w:color w:val="00B0F0"/>
          <w:sz w:val="24"/>
          <w:szCs w:val="24"/>
        </w:rPr>
      </w:pPr>
      <w:r>
        <w:rPr>
          <w:rFonts w:ascii="Times New Roman" w:eastAsia="Times New Roman" w:hAnsi="Times New Roman" w:cs="Times New Roman"/>
          <w:b/>
          <w:color w:val="00B0F0"/>
          <w:sz w:val="24"/>
          <w:szCs w:val="24"/>
        </w:rPr>
        <w:t>valor superior a lance já registrado pelo fornecedor no sistema, quando adotado</w:t>
      </w:r>
      <w:r>
        <w:rPr>
          <w:rFonts w:ascii="Times New Roman" w:eastAsia="Times New Roman" w:hAnsi="Times New Roman" w:cs="Times New Roman"/>
          <w:b/>
          <w:color w:val="00B0F0"/>
          <w:sz w:val="24"/>
          <w:szCs w:val="24"/>
        </w:rPr>
        <w:t xml:space="preserve"> o critério de julgamento por menor preço; e</w:t>
      </w:r>
      <w:r>
        <w:rPr>
          <w:rFonts w:ascii="Times New Roman" w:eastAsia="Times New Roman" w:hAnsi="Times New Roman" w:cs="Times New Roman"/>
          <w:b/>
          <w:color w:val="00B0F0"/>
          <w:sz w:val="24"/>
          <w:szCs w:val="24"/>
          <w:vertAlign w:val="superscript"/>
        </w:rPr>
        <w:footnoteReference w:id="23"/>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strike/>
          <w:sz w:val="24"/>
          <w:szCs w:val="24"/>
        </w:rPr>
      </w:pPr>
      <w:r>
        <w:rPr>
          <w:rFonts w:ascii="Times New Roman" w:eastAsia="Times New Roman" w:hAnsi="Times New Roman" w:cs="Times New Roman"/>
          <w:strike/>
          <w:sz w:val="24"/>
          <w:szCs w:val="24"/>
        </w:rPr>
        <w:t>percentual de desconto inferior a lance já registrado pelo fornecedor no sistema, quando adotado o critério de julgamento por maior desconto (maior oferta).</w:t>
      </w:r>
      <w:r>
        <w:rPr>
          <w:rFonts w:ascii="Times New Roman" w:eastAsia="Times New Roman" w:hAnsi="Times New Roman" w:cs="Times New Roman"/>
          <w:strike/>
          <w:sz w:val="24"/>
          <w:szCs w:val="24"/>
          <w:vertAlign w:val="superscript"/>
        </w:rPr>
        <w:footnoteReference w:id="24"/>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 valor final mínimo ou o percentual de desconto fin</w:t>
      </w:r>
      <w:r>
        <w:rPr>
          <w:rFonts w:ascii="Times New Roman" w:eastAsia="Times New Roman" w:hAnsi="Times New Roman" w:cs="Times New Roman"/>
          <w:sz w:val="24"/>
          <w:szCs w:val="24"/>
        </w:rPr>
        <w:t xml:space="preserve">al máximo parametrizado na forma do item 5.13 possuirá caráter sigiloso para os demais fornecedores e para o órgão ou </w:t>
      </w:r>
      <w:r>
        <w:rPr>
          <w:rFonts w:ascii="Times New Roman" w:eastAsia="Times New Roman" w:hAnsi="Times New Roman" w:cs="Times New Roman"/>
          <w:sz w:val="24"/>
          <w:szCs w:val="24"/>
        </w:rPr>
        <w:lastRenderedPageBreak/>
        <w:t>entidade promotora da licitação, podendo ser disponibilizado estrita e permanentemente aos órgãos de controle externo e interno.</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Caberá ao</w:t>
      </w:r>
      <w:r>
        <w:rPr>
          <w:rFonts w:ascii="Times New Roman" w:eastAsia="Times New Roman" w:hAnsi="Times New Roman" w:cs="Times New Roman"/>
          <w:sz w:val="24"/>
          <w:szCs w:val="24"/>
        </w:rPr>
        <w:t xml:space="preserve"> licitante interessado em participar </w:t>
      </w:r>
      <w:proofErr w:type="gramStart"/>
      <w:r>
        <w:rPr>
          <w:rFonts w:ascii="Times New Roman" w:eastAsia="Times New Roman" w:hAnsi="Times New Roman" w:cs="Times New Roman"/>
          <w:sz w:val="24"/>
          <w:szCs w:val="24"/>
        </w:rPr>
        <w:t>da</w:t>
      </w:r>
      <w:proofErr w:type="gramEnd"/>
      <w:r>
        <w:rPr>
          <w:rFonts w:ascii="Times New Roman" w:eastAsia="Times New Roman" w:hAnsi="Times New Roman" w:cs="Times New Roman"/>
          <w:sz w:val="24"/>
          <w:szCs w:val="24"/>
        </w:rPr>
        <w:t xml:space="preserve"> licitação acompanhar as operações no sistema eletrônico durante o processo licitatório e se responsabilizar pelo ônus decorrente da perda de negócios diante da inobservância de mensagens emitidas pela Administração o</w:t>
      </w:r>
      <w:r>
        <w:rPr>
          <w:rFonts w:ascii="Times New Roman" w:eastAsia="Times New Roman" w:hAnsi="Times New Roman" w:cs="Times New Roman"/>
          <w:sz w:val="24"/>
          <w:szCs w:val="24"/>
        </w:rPr>
        <w:t>u de sua desconexão.</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 licitante deverá comunicar imediatamente ao provedor do sistema qualquer acontecimento que possa comprometer o sigilo ou a segurança, para imediato bloqueio de acesso.</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O licitante deverá, ainda, concordar com os termos da Declaração de Compromisso com a Sustentabilidade e às Normas de Proteção ao Meio Ambiente (Anexo 02) e da Declaração de Vedação ao Nepotismo (Anexo 03), ambos partes integrantes deste Edital.</w:t>
      </w:r>
      <w:r>
        <w:rPr>
          <w:rFonts w:ascii="Times New Roman" w:eastAsia="Times New Roman" w:hAnsi="Times New Roman" w:cs="Times New Roman"/>
          <w:b/>
          <w:color w:val="FF0000"/>
          <w:sz w:val="24"/>
          <w:szCs w:val="24"/>
          <w:vertAlign w:val="superscript"/>
        </w:rPr>
        <w:footnoteReference w:id="25"/>
      </w:r>
    </w:p>
    <w:p w:rsidR="008C7EA8" w:rsidRDefault="008C7EA8">
      <w:pPr>
        <w:tabs>
          <w:tab w:val="left" w:pos="1418"/>
          <w:tab w:val="left" w:pos="1701"/>
        </w:tabs>
        <w:spacing w:line="360" w:lineRule="auto"/>
        <w:jc w:val="both"/>
        <w:rPr>
          <w:rFonts w:ascii="Times New Roman" w:eastAsia="Times New Roman" w:hAnsi="Times New Roman" w:cs="Times New Roman"/>
          <w:sz w:val="24"/>
          <w:szCs w:val="24"/>
        </w:rPr>
      </w:pPr>
    </w:p>
    <w:p w:rsidR="008C7EA8" w:rsidRDefault="007C04D2">
      <w:pPr>
        <w:numPr>
          <w:ilvl w:val="0"/>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0000"/>
          <w:sz w:val="24"/>
          <w:szCs w:val="24"/>
        </w:rPr>
      </w:pPr>
      <w:bookmarkStart w:id="18" w:name="_heading=h.xpothivw34" w:colFirst="0" w:colLast="0"/>
      <w:bookmarkEnd w:id="18"/>
      <w:r>
        <w:rPr>
          <w:rFonts w:ascii="Times New Roman" w:eastAsia="Times New Roman" w:hAnsi="Times New Roman" w:cs="Times New Roman"/>
          <w:b/>
          <w:color w:val="000000"/>
          <w:sz w:val="24"/>
          <w:szCs w:val="24"/>
        </w:rPr>
        <w:t>DO PREENCHIMENTO DA PROPOSTA</w:t>
      </w:r>
    </w:p>
    <w:p w:rsidR="008C7EA8" w:rsidRDefault="008C7EA8">
      <w:pPr>
        <w:tabs>
          <w:tab w:val="left" w:pos="1418"/>
        </w:tabs>
        <w:spacing w:line="360" w:lineRule="auto"/>
        <w:jc w:val="both"/>
        <w:rPr>
          <w:rFonts w:ascii="Times New Roman" w:eastAsia="Times New Roman" w:hAnsi="Times New Roman" w:cs="Times New Roman"/>
          <w:sz w:val="24"/>
          <w:szCs w:val="24"/>
        </w:rPr>
      </w:pP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 licitante deverá enviar sua proposta mediante o preenchimento, no sistema eletrônico, dos seguintes campos:</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B0F0"/>
          <w:sz w:val="24"/>
          <w:szCs w:val="24"/>
        </w:rPr>
      </w:pPr>
      <w:r>
        <w:rPr>
          <w:rFonts w:ascii="Times New Roman" w:eastAsia="Times New Roman" w:hAnsi="Times New Roman" w:cs="Times New Roman"/>
          <w:b/>
          <w:color w:val="00B0F0"/>
          <w:sz w:val="24"/>
          <w:szCs w:val="24"/>
        </w:rPr>
        <w:t>Valor unitário e anual/total do(s) item(</w:t>
      </w:r>
      <w:proofErr w:type="spellStart"/>
      <w:r>
        <w:rPr>
          <w:rFonts w:ascii="Times New Roman" w:eastAsia="Times New Roman" w:hAnsi="Times New Roman" w:cs="Times New Roman"/>
          <w:b/>
          <w:color w:val="00B0F0"/>
          <w:sz w:val="24"/>
          <w:szCs w:val="24"/>
        </w:rPr>
        <w:t>ns</w:t>
      </w:r>
      <w:proofErr w:type="spellEnd"/>
      <w:r>
        <w:rPr>
          <w:rFonts w:ascii="Times New Roman" w:eastAsia="Times New Roman" w:hAnsi="Times New Roman" w:cs="Times New Roman"/>
          <w:b/>
          <w:color w:val="00B0F0"/>
          <w:sz w:val="24"/>
          <w:szCs w:val="24"/>
        </w:rPr>
        <w:t>)</w:t>
      </w:r>
      <w:r>
        <w:rPr>
          <w:rFonts w:ascii="Times New Roman" w:eastAsia="Times New Roman" w:hAnsi="Times New Roman" w:cs="Times New Roman"/>
          <w:b/>
          <w:color w:val="00B0F0"/>
          <w:sz w:val="24"/>
          <w:szCs w:val="24"/>
          <w:vertAlign w:val="superscript"/>
        </w:rPr>
        <w:footnoteReference w:id="26"/>
      </w:r>
      <w:r>
        <w:rPr>
          <w:rFonts w:ascii="Times New Roman" w:eastAsia="Times New Roman" w:hAnsi="Times New Roman" w:cs="Times New Roman"/>
          <w:b/>
          <w:color w:val="00B0F0"/>
          <w:sz w:val="24"/>
          <w:szCs w:val="24"/>
        </w:rPr>
        <w:t>;</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sz w:val="24"/>
          <w:szCs w:val="24"/>
        </w:rPr>
        <w:t>marca</w:t>
      </w:r>
      <w:proofErr w:type="gramEnd"/>
      <w:r>
        <w:rPr>
          <w:rFonts w:ascii="Times New Roman" w:eastAsia="Times New Roman" w:hAnsi="Times New Roman" w:cs="Times New Roman"/>
          <w:color w:val="000000"/>
          <w:sz w:val="24"/>
          <w:szCs w:val="24"/>
        </w:rPr>
        <w:t>;</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sz w:val="24"/>
          <w:szCs w:val="24"/>
        </w:rPr>
        <w:t>fabricante</w:t>
      </w:r>
      <w:proofErr w:type="gramEnd"/>
      <w:r>
        <w:rPr>
          <w:rFonts w:ascii="Times New Roman" w:eastAsia="Times New Roman" w:hAnsi="Times New Roman" w:cs="Times New Roman"/>
          <w:color w:val="000000"/>
          <w:sz w:val="24"/>
          <w:szCs w:val="24"/>
        </w:rPr>
        <w:t>;</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i/>
          <w:strike/>
          <w:color w:val="000000"/>
          <w:sz w:val="24"/>
          <w:szCs w:val="24"/>
        </w:rPr>
      </w:pPr>
      <w:r>
        <w:rPr>
          <w:rFonts w:ascii="Times New Roman" w:eastAsia="Times New Roman" w:hAnsi="Times New Roman" w:cs="Times New Roman"/>
          <w:strike/>
          <w:color w:val="000000"/>
          <w:sz w:val="24"/>
          <w:szCs w:val="24"/>
        </w:rPr>
        <w:t>Quantidade cotada, devendo respeitar o mínimo de...</w:t>
      </w:r>
      <w:r>
        <w:rPr>
          <w:rFonts w:ascii="Times New Roman" w:eastAsia="Times New Roman" w:hAnsi="Times New Roman" w:cs="Times New Roman"/>
          <w:strike/>
          <w:color w:val="000000"/>
          <w:sz w:val="24"/>
          <w:szCs w:val="24"/>
          <w:vertAlign w:val="superscript"/>
        </w:rPr>
        <w:footnoteReference w:id="27"/>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Todas as especificações do objeto contidas na proposta vinculam o licitante.</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6.2.1</w:t>
      </w:r>
      <w:r>
        <w:rPr>
          <w:rFonts w:ascii="Times New Roman" w:eastAsia="Times New Roman" w:hAnsi="Times New Roman" w:cs="Times New Roman"/>
          <w:color w:val="000000"/>
          <w:sz w:val="24"/>
          <w:szCs w:val="24"/>
        </w:rPr>
        <w:tab/>
        <w:t>O licitante NÃO poderá oferecer proposta em quantitativo inferior ao máximo previsto para contratação.</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Nos valores propostos estarão inclusos todos os custos operacionais,</w:t>
      </w:r>
      <w:r>
        <w:rPr>
          <w:rFonts w:ascii="Times New Roman" w:eastAsia="Times New Roman" w:hAnsi="Times New Roman" w:cs="Times New Roman"/>
          <w:color w:val="000000"/>
          <w:sz w:val="24"/>
          <w:szCs w:val="24"/>
        </w:rPr>
        <w:t xml:space="preserve"> encargos previdenciários, trabalhistas, tributários, comerciais e quaisquer outros que incidam direta ou indiretamente na execução do objeto.</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Os preços ofertados, tanto na proposta inicial, quanto na etapa de lances, serão de exclusiva responsabilidade do</w:t>
      </w:r>
      <w:r>
        <w:rPr>
          <w:rFonts w:ascii="Times New Roman" w:eastAsia="Times New Roman" w:hAnsi="Times New Roman" w:cs="Times New Roman"/>
          <w:color w:val="000000"/>
          <w:sz w:val="24"/>
          <w:szCs w:val="24"/>
        </w:rPr>
        <w:t xml:space="preserve"> licitante, não lhe assistindo o direito de pleitear qualquer alteração, sob alegação de erro, omissão ou qualquer outro pretexto.</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Se o regime tributário da empresa implicar o recolhimento de tributos em percentuais variáveis, a cotação adequada será a que</w:t>
      </w:r>
      <w:r>
        <w:rPr>
          <w:rFonts w:ascii="Times New Roman" w:eastAsia="Times New Roman" w:hAnsi="Times New Roman" w:cs="Times New Roman"/>
          <w:color w:val="000000"/>
          <w:sz w:val="24"/>
          <w:szCs w:val="24"/>
        </w:rPr>
        <w:t xml:space="preserve"> corresponde à média dos efetivos recolhimentos da empresa nos últimos 12 (doze) meses.</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strike/>
          <w:sz w:val="24"/>
          <w:szCs w:val="24"/>
        </w:rPr>
      </w:pPr>
      <w:r>
        <w:rPr>
          <w:rFonts w:ascii="Times New Roman" w:eastAsia="Times New Roman" w:hAnsi="Times New Roman" w:cs="Times New Roman"/>
          <w:strike/>
          <w:sz w:val="24"/>
          <w:szCs w:val="24"/>
        </w:rPr>
        <w:t>6.5.1</w:t>
      </w:r>
      <w:r>
        <w:rPr>
          <w:rFonts w:ascii="Times New Roman" w:eastAsia="Times New Roman" w:hAnsi="Times New Roman" w:cs="Times New Roman"/>
          <w:strike/>
          <w:sz w:val="24"/>
          <w:szCs w:val="24"/>
        </w:rPr>
        <w:tab/>
      </w:r>
      <w:r>
        <w:rPr>
          <w:rFonts w:ascii="Times New Roman" w:eastAsia="Times New Roman" w:hAnsi="Times New Roman" w:cs="Times New Roman"/>
          <w:strike/>
          <w:sz w:val="24"/>
          <w:szCs w:val="24"/>
        </w:rPr>
        <w:t>No regime de incidência não-cumulativa de PIS e COFINS, a cotação adequada será a que corresponde à média das alíquotas efetivamente recolhidas pela empresa, comprovada, a qualquer tempo, por documentos de Escrituração Fiscal Digital da Contribuição (EFD-C</w:t>
      </w:r>
      <w:r>
        <w:rPr>
          <w:rFonts w:ascii="Times New Roman" w:eastAsia="Times New Roman" w:hAnsi="Times New Roman" w:cs="Times New Roman"/>
          <w:strike/>
          <w:sz w:val="24"/>
          <w:szCs w:val="24"/>
        </w:rPr>
        <w:t>ontribuições) para o PIS/PASEP e COFINS dos últimos 12 (doze) meses anteriores à apresentação da proposta, ou por outro meio hábil.</w:t>
      </w:r>
      <w:r>
        <w:rPr>
          <w:rFonts w:ascii="Times New Roman" w:eastAsia="Times New Roman" w:hAnsi="Times New Roman" w:cs="Times New Roman"/>
          <w:strike/>
          <w:sz w:val="24"/>
          <w:szCs w:val="24"/>
          <w:vertAlign w:val="superscript"/>
        </w:rPr>
        <w:footnoteReference w:id="28"/>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Independentemente do percentual de tributo inserido na </w:t>
      </w:r>
      <w:r>
        <w:rPr>
          <w:rFonts w:ascii="Times New Roman" w:eastAsia="Times New Roman" w:hAnsi="Times New Roman" w:cs="Times New Roman"/>
          <w:b/>
          <w:color w:val="000000"/>
          <w:sz w:val="24"/>
          <w:szCs w:val="24"/>
        </w:rPr>
        <w:t>planilha</w:t>
      </w:r>
      <w:r>
        <w:rPr>
          <w:rFonts w:ascii="Times New Roman" w:eastAsia="Times New Roman" w:hAnsi="Times New Roman" w:cs="Times New Roman"/>
          <w:b/>
          <w:color w:val="000000"/>
          <w:sz w:val="24"/>
          <w:szCs w:val="24"/>
          <w:vertAlign w:val="superscript"/>
        </w:rPr>
        <w:footnoteReference w:id="29"/>
      </w:r>
      <w:r>
        <w:rPr>
          <w:rFonts w:ascii="Times New Roman" w:eastAsia="Times New Roman" w:hAnsi="Times New Roman" w:cs="Times New Roman"/>
          <w:color w:val="000000"/>
          <w:sz w:val="24"/>
          <w:szCs w:val="24"/>
        </w:rPr>
        <w:t>, no pagamento serão retidos na fonte os percentuais estabelecidos na legislação vigente.</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B0F0"/>
          <w:sz w:val="24"/>
          <w:szCs w:val="24"/>
        </w:rPr>
      </w:pPr>
      <w:r>
        <w:rPr>
          <w:rFonts w:ascii="Times New Roman" w:eastAsia="Times New Roman" w:hAnsi="Times New Roman" w:cs="Times New Roman"/>
          <w:b/>
          <w:color w:val="00B0F0"/>
          <w:sz w:val="24"/>
          <w:szCs w:val="24"/>
        </w:rPr>
        <w:t>Na presente licitação, a Microempresa e a Empresa de Pequeno Porte poderão se beneficiar do regime de tributação pelo Simples Nacional.</w:t>
      </w:r>
      <w:r>
        <w:rPr>
          <w:rFonts w:ascii="Times New Roman" w:eastAsia="Times New Roman" w:hAnsi="Times New Roman" w:cs="Times New Roman"/>
          <w:b/>
          <w:color w:val="00B0F0"/>
          <w:sz w:val="24"/>
          <w:szCs w:val="24"/>
          <w:highlight w:val="white"/>
          <w:vertAlign w:val="superscript"/>
        </w:rPr>
        <w:footnoteReference w:id="30"/>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sz w:val="24"/>
          <w:szCs w:val="24"/>
          <w:highlight w:val="white"/>
        </w:rPr>
      </w:pPr>
      <w:r>
        <w:rPr>
          <w:rFonts w:ascii="Times New Roman" w:eastAsia="Times New Roman" w:hAnsi="Times New Roman" w:cs="Times New Roman"/>
          <w:strike/>
          <w:sz w:val="24"/>
          <w:szCs w:val="24"/>
        </w:rPr>
        <w:t>Na presente licitação, a Micr</w:t>
      </w:r>
      <w:r>
        <w:rPr>
          <w:rFonts w:ascii="Times New Roman" w:eastAsia="Times New Roman" w:hAnsi="Times New Roman" w:cs="Times New Roman"/>
          <w:strike/>
          <w:sz w:val="24"/>
          <w:szCs w:val="24"/>
        </w:rPr>
        <w:t xml:space="preserve">oempresa e a Empresa de Pequeno Porte não poderão se beneficiar do regime de tributação pelo Simples Nacional, visto que os serviços serão prestados com disponibilização de trabalhadores em dedicação exclusiva de mão de </w:t>
      </w:r>
      <w:r>
        <w:rPr>
          <w:rFonts w:ascii="Times New Roman" w:eastAsia="Times New Roman" w:hAnsi="Times New Roman" w:cs="Times New Roman"/>
          <w:strike/>
          <w:sz w:val="24"/>
          <w:szCs w:val="24"/>
        </w:rPr>
        <w:lastRenderedPageBreak/>
        <w:t xml:space="preserve">obra, o que configura cessão de mão </w:t>
      </w:r>
      <w:r>
        <w:rPr>
          <w:rFonts w:ascii="Times New Roman" w:eastAsia="Times New Roman" w:hAnsi="Times New Roman" w:cs="Times New Roman"/>
          <w:strike/>
          <w:sz w:val="24"/>
          <w:szCs w:val="24"/>
        </w:rPr>
        <w:t>de obra para fins tributários, conforme art. 17, inciso XII, da Lei Complementar no 123/2006.</w:t>
      </w:r>
      <w:r>
        <w:rPr>
          <w:rFonts w:ascii="Times New Roman" w:eastAsia="Times New Roman" w:hAnsi="Times New Roman" w:cs="Times New Roman"/>
          <w:b/>
          <w:strike/>
          <w:sz w:val="24"/>
          <w:szCs w:val="24"/>
          <w:vertAlign w:val="superscript"/>
        </w:rPr>
        <w:footnoteReference w:id="31"/>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apresentação das propostas implica obrigatoriedade do cumprimento das disposições nelas contidas, em conformidade com o que dispõe o Termo de Referência/Projeto Básico, assumindo o proponente o compromisso de executar o objeto licitado nos seus termos, b</w:t>
      </w:r>
      <w:r>
        <w:rPr>
          <w:rFonts w:ascii="Times New Roman" w:eastAsia="Times New Roman" w:hAnsi="Times New Roman" w:cs="Times New Roman"/>
          <w:sz w:val="24"/>
          <w:szCs w:val="24"/>
        </w:rPr>
        <w:t>em como de fornecer os materiais, equipamentos, ferramentas e utensílios necessários, em quantidades e qualidades adequadas à perfeita execução contratual, promovendo, quando requerido, sua substituição.</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 prazo de validade da proposta não será inferior a </w:t>
      </w:r>
      <w:r>
        <w:rPr>
          <w:rFonts w:ascii="Times New Roman" w:eastAsia="Times New Roman" w:hAnsi="Times New Roman" w:cs="Times New Roman"/>
          <w:b/>
          <w:color w:val="00B0F0"/>
          <w:sz w:val="24"/>
          <w:szCs w:val="24"/>
        </w:rPr>
        <w:t>60 (sessenta) dias</w:t>
      </w:r>
      <w:r>
        <w:rPr>
          <w:rFonts w:ascii="Times New Roman" w:eastAsia="Times New Roman" w:hAnsi="Times New Roman" w:cs="Times New Roman"/>
          <w:b/>
          <w:color w:val="00B0F0"/>
          <w:sz w:val="24"/>
          <w:szCs w:val="24"/>
          <w:vertAlign w:val="superscript"/>
        </w:rPr>
        <w:footnoteReference w:id="32"/>
      </w:r>
      <w:r>
        <w:rPr>
          <w:rFonts w:ascii="Times New Roman" w:eastAsia="Times New Roman" w:hAnsi="Times New Roman" w:cs="Times New Roman"/>
          <w:color w:val="000000"/>
          <w:sz w:val="24"/>
          <w:szCs w:val="24"/>
        </w:rPr>
        <w:t>, a contar da data de sua apresentação.</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Os licitantes devem respeitar os preços máximos estabelecidos nas normas de regência de contratações públicas federais, quando participarem de licitações públicas.</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Caso o critério de julgamento sej</w:t>
      </w:r>
      <w:r>
        <w:rPr>
          <w:rFonts w:ascii="Times New Roman" w:eastAsia="Times New Roman" w:hAnsi="Times New Roman" w:cs="Times New Roman"/>
          <w:sz w:val="24"/>
          <w:szCs w:val="24"/>
        </w:rPr>
        <w:t xml:space="preserve">a o de </w:t>
      </w:r>
      <w:r>
        <w:rPr>
          <w:rFonts w:ascii="Times New Roman" w:eastAsia="Times New Roman" w:hAnsi="Times New Roman" w:cs="Times New Roman"/>
          <w:b/>
          <w:sz w:val="24"/>
          <w:szCs w:val="24"/>
        </w:rPr>
        <w:t>menor preço</w:t>
      </w:r>
      <w:r>
        <w:rPr>
          <w:rFonts w:ascii="Times New Roman" w:eastAsia="Times New Roman" w:hAnsi="Times New Roman" w:cs="Times New Roman"/>
          <w:sz w:val="24"/>
          <w:szCs w:val="24"/>
        </w:rPr>
        <w:t>, os licitantes devem respeitar os preços máximos previstos no Termo de Referência/Projeto Básico.</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 xml:space="preserve">Caso o critério de julgamento seja o de maior desconto, o preço já decorrente da aplicação do desconto ofertado deverá respeitar os preços </w:t>
      </w:r>
      <w:r>
        <w:rPr>
          <w:rFonts w:ascii="Times New Roman" w:eastAsia="Times New Roman" w:hAnsi="Times New Roman" w:cs="Times New Roman"/>
          <w:strike/>
          <w:color w:val="000000"/>
          <w:sz w:val="24"/>
          <w:szCs w:val="24"/>
        </w:rPr>
        <w:t xml:space="preserve">máximos previstos </w:t>
      </w:r>
      <w:r>
        <w:rPr>
          <w:rFonts w:ascii="Times New Roman" w:eastAsia="Times New Roman" w:hAnsi="Times New Roman" w:cs="Times New Roman"/>
          <w:strike/>
          <w:sz w:val="24"/>
          <w:szCs w:val="24"/>
        </w:rPr>
        <w:t>no Termo de Referência/Projeto Básico</w:t>
      </w:r>
      <w:r>
        <w:rPr>
          <w:rFonts w:ascii="Times New Roman" w:eastAsia="Times New Roman" w:hAnsi="Times New Roman" w:cs="Times New Roman"/>
          <w:strike/>
          <w:color w:val="000000"/>
          <w:sz w:val="24"/>
          <w:szCs w:val="24"/>
        </w:rPr>
        <w:t>.</w:t>
      </w:r>
      <w:r>
        <w:rPr>
          <w:rFonts w:ascii="Times New Roman" w:eastAsia="Times New Roman" w:hAnsi="Times New Roman" w:cs="Times New Roman"/>
          <w:strike/>
          <w:sz w:val="24"/>
          <w:szCs w:val="24"/>
          <w:vertAlign w:val="superscript"/>
        </w:rPr>
        <w:t xml:space="preserve"> </w:t>
      </w:r>
      <w:r>
        <w:rPr>
          <w:rFonts w:ascii="Times New Roman" w:eastAsia="Times New Roman" w:hAnsi="Times New Roman" w:cs="Times New Roman"/>
          <w:strike/>
          <w:sz w:val="24"/>
          <w:szCs w:val="24"/>
          <w:vertAlign w:val="superscript"/>
        </w:rPr>
        <w:footnoteReference w:id="33"/>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 descumprimento das regras supramencionadas pela Administração por parte dos contratados pode ensejar a responsabilização pelo Tribunal de Contas da União e, após o devido processo legal, gerar as seguintes consequências: assinatura de prazo para a adoção</w:t>
      </w:r>
      <w:r>
        <w:rPr>
          <w:rFonts w:ascii="Times New Roman" w:eastAsia="Times New Roman" w:hAnsi="Times New Roman" w:cs="Times New Roman"/>
          <w:color w:val="000000"/>
          <w:sz w:val="24"/>
          <w:szCs w:val="24"/>
        </w:rPr>
        <w:t xml:space="preserve"> das medidas necessárias ao exato cumprimento da lei, nos termos do art. 71, inciso IX, da Constituição; ou condenação dos agentes públicos responsáveis e da empresa contratada ao pagamento dos prejuízos ao erário, caso verificada a ocorrência de superfatu</w:t>
      </w:r>
      <w:r>
        <w:rPr>
          <w:rFonts w:ascii="Times New Roman" w:eastAsia="Times New Roman" w:hAnsi="Times New Roman" w:cs="Times New Roman"/>
          <w:color w:val="000000"/>
          <w:sz w:val="24"/>
          <w:szCs w:val="24"/>
        </w:rPr>
        <w:t>ramento por sobrepreço na execução do Contrato.</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i/>
          <w:strike/>
          <w:color w:val="000000"/>
          <w:sz w:val="24"/>
          <w:szCs w:val="24"/>
        </w:rPr>
      </w:pPr>
      <w:r>
        <w:rPr>
          <w:rFonts w:ascii="Times New Roman" w:eastAsia="Times New Roman" w:hAnsi="Times New Roman" w:cs="Times New Roman"/>
          <w:strike/>
          <w:sz w:val="24"/>
          <w:szCs w:val="24"/>
        </w:rPr>
        <w:lastRenderedPageBreak/>
        <w:t>Em se tratando de serviços com fornecimento de mão de obra em regime de dedicação exclusiva, o licitante deverá indicar os sindicatos, acordos coletivos, convenções coletivas ou sentenças normativas que regem</w:t>
      </w:r>
      <w:r>
        <w:rPr>
          <w:rFonts w:ascii="Times New Roman" w:eastAsia="Times New Roman" w:hAnsi="Times New Roman" w:cs="Times New Roman"/>
          <w:strike/>
          <w:sz w:val="24"/>
          <w:szCs w:val="24"/>
        </w:rPr>
        <w:t xml:space="preserve"> as categorias profissionais que executarão o serviço e as respectivas datas bases e vigências, com base na Classificação Brasileira de Ocupações – CBO.</w:t>
      </w:r>
      <w:r>
        <w:rPr>
          <w:rFonts w:ascii="Times New Roman" w:eastAsia="Times New Roman" w:hAnsi="Times New Roman" w:cs="Times New Roman"/>
          <w:strike/>
          <w:color w:val="000000"/>
          <w:sz w:val="24"/>
          <w:szCs w:val="24"/>
          <w:vertAlign w:val="superscript"/>
        </w:rPr>
        <w:footnoteReference w:id="34"/>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sz w:val="24"/>
          <w:szCs w:val="24"/>
        </w:rPr>
      </w:pPr>
      <w:r>
        <w:rPr>
          <w:rFonts w:ascii="Times New Roman" w:eastAsia="Times New Roman" w:hAnsi="Times New Roman" w:cs="Times New Roman"/>
          <w:strike/>
          <w:sz w:val="24"/>
          <w:szCs w:val="24"/>
        </w:rPr>
        <w:t xml:space="preserve">Os custos mínimos relevantes e demais informações referentes aos benefícios trabalhistas encontram-se </w:t>
      </w:r>
      <w:r>
        <w:rPr>
          <w:rFonts w:ascii="Times New Roman" w:eastAsia="Times New Roman" w:hAnsi="Times New Roman" w:cs="Times New Roman"/>
          <w:strike/>
          <w:sz w:val="24"/>
          <w:szCs w:val="24"/>
        </w:rPr>
        <w:t>definidos no Termo de Referência.</w:t>
      </w:r>
      <w:r>
        <w:rPr>
          <w:rFonts w:ascii="Times New Roman" w:eastAsia="Times New Roman" w:hAnsi="Times New Roman" w:cs="Times New Roman"/>
          <w:strike/>
          <w:sz w:val="24"/>
          <w:szCs w:val="24"/>
          <w:vertAlign w:val="superscript"/>
        </w:rPr>
        <w:footnoteReference w:id="35"/>
      </w: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color w:val="000000"/>
          <w:sz w:val="24"/>
          <w:szCs w:val="24"/>
        </w:rPr>
      </w:pPr>
    </w:p>
    <w:p w:rsidR="008C7EA8" w:rsidRDefault="007C04D2">
      <w:pPr>
        <w:numPr>
          <w:ilvl w:val="0"/>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0000"/>
          <w:sz w:val="24"/>
          <w:szCs w:val="24"/>
        </w:rPr>
      </w:pPr>
      <w:bookmarkStart w:id="19" w:name="_heading=h.29vxlqfs6sat" w:colFirst="0" w:colLast="0"/>
      <w:bookmarkEnd w:id="19"/>
      <w:r>
        <w:rPr>
          <w:rFonts w:ascii="Times New Roman" w:eastAsia="Times New Roman" w:hAnsi="Times New Roman" w:cs="Times New Roman"/>
          <w:b/>
          <w:color w:val="000000"/>
          <w:sz w:val="24"/>
          <w:szCs w:val="24"/>
        </w:rPr>
        <w:t>DA ABERTURA DA SESSÃO, CLASSIFICAÇÃO DAS PROPOSTAS E FORMULAÇÃO DE LANCES</w:t>
      </w:r>
    </w:p>
    <w:p w:rsidR="008C7EA8" w:rsidRDefault="008C7EA8">
      <w:pPr>
        <w:tabs>
          <w:tab w:val="left" w:pos="1418"/>
        </w:tabs>
        <w:spacing w:line="360" w:lineRule="auto"/>
        <w:jc w:val="both"/>
        <w:rPr>
          <w:rFonts w:ascii="Times New Roman" w:eastAsia="Times New Roman" w:hAnsi="Times New Roman" w:cs="Times New Roman"/>
          <w:sz w:val="24"/>
          <w:szCs w:val="24"/>
        </w:rPr>
      </w:pP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abertura da presente licitação dar-se-á automaticamente em sessão pública, por meio de sistema eletrônico, na data, horário e local indicados neste Edital.</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Os licitantes poderão retirar ou substituir a proposta ou os documentos de habilitação, quando for</w:t>
      </w:r>
      <w:r>
        <w:rPr>
          <w:rFonts w:ascii="Times New Roman" w:eastAsia="Times New Roman" w:hAnsi="Times New Roman" w:cs="Times New Roman"/>
          <w:color w:val="000000"/>
          <w:sz w:val="24"/>
          <w:szCs w:val="24"/>
        </w:rPr>
        <w:t xml:space="preserve"> o caso, anteriormente inseridos no sistema, até a abertura da sessão pública.</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 sistema disponibilizará campo próprio para troca de mensagens entre o Pregoeiro e os licitantes.</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Iniciada a etapa competitiva, os licitantes deverão encaminhar lances exclusiv</w:t>
      </w:r>
      <w:r>
        <w:rPr>
          <w:rFonts w:ascii="Times New Roman" w:eastAsia="Times New Roman" w:hAnsi="Times New Roman" w:cs="Times New Roman"/>
          <w:color w:val="000000"/>
          <w:sz w:val="24"/>
          <w:szCs w:val="24"/>
        </w:rPr>
        <w:t>amente por meio de sistema eletrônico, sendo imediatamente informados do seu recebimento e do valor consignado no registro.</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 lance deverá ser ofertado pelo valor unitário do item.</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Os licitantes poderão oferecer lances sucessivos, observando o horário fixado para abertura da sessão e as regras estabelecidas no Edital.</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B0F0"/>
          <w:sz w:val="24"/>
          <w:szCs w:val="24"/>
        </w:rPr>
      </w:pPr>
      <w:r>
        <w:rPr>
          <w:rFonts w:ascii="Times New Roman" w:eastAsia="Times New Roman" w:hAnsi="Times New Roman" w:cs="Times New Roman"/>
          <w:b/>
          <w:color w:val="00B0F0"/>
          <w:sz w:val="24"/>
          <w:szCs w:val="24"/>
        </w:rPr>
        <w:t xml:space="preserve">O licitante somente poderá oferecer lance de </w:t>
      </w:r>
      <w:r>
        <w:rPr>
          <w:rFonts w:ascii="Times New Roman" w:eastAsia="Times New Roman" w:hAnsi="Times New Roman" w:cs="Times New Roman"/>
          <w:b/>
          <w:color w:val="00B0F0"/>
          <w:sz w:val="24"/>
          <w:szCs w:val="24"/>
          <w:u w:val="single"/>
        </w:rPr>
        <w:t>valor inferior</w:t>
      </w:r>
      <w:r>
        <w:rPr>
          <w:rFonts w:ascii="Times New Roman" w:eastAsia="Times New Roman" w:hAnsi="Times New Roman" w:cs="Times New Roman"/>
          <w:b/>
          <w:color w:val="00B0F0"/>
          <w:sz w:val="24"/>
          <w:szCs w:val="24"/>
        </w:rPr>
        <w:t xml:space="preserve"> ao último por ele ofertado e registrado pelo sistema.</w:t>
      </w:r>
      <w:r>
        <w:rPr>
          <w:rFonts w:ascii="Times New Roman" w:eastAsia="Times New Roman" w:hAnsi="Times New Roman" w:cs="Times New Roman"/>
          <w:b/>
          <w:color w:val="00B0F0"/>
          <w:sz w:val="24"/>
          <w:szCs w:val="24"/>
          <w:vertAlign w:val="superscript"/>
        </w:rPr>
        <w:footnoteReference w:id="36"/>
      </w:r>
    </w:p>
    <w:p w:rsidR="008C7EA8" w:rsidRDefault="007C04D2">
      <w:pPr>
        <w:numPr>
          <w:ilvl w:val="1"/>
          <w:numId w:val="2"/>
        </w:numPr>
        <w:pBdr>
          <w:top w:val="nil"/>
          <w:left w:val="nil"/>
          <w:bottom w:val="nil"/>
          <w:right w:val="nil"/>
          <w:between w:val="nil"/>
        </w:pBdr>
        <w:tabs>
          <w:tab w:val="left" w:pos="1418"/>
          <w:tab w:val="left" w:pos="1701"/>
        </w:tabs>
        <w:spacing w:line="360" w:lineRule="auto"/>
        <w:ind w:left="0" w:firstLine="0"/>
        <w:jc w:val="both"/>
        <w:rPr>
          <w:rFonts w:ascii="Times New Roman" w:eastAsia="Times New Roman" w:hAnsi="Times New Roman" w:cs="Times New Roman"/>
          <w:b/>
          <w:color w:val="00B0F0"/>
          <w:sz w:val="24"/>
          <w:szCs w:val="24"/>
        </w:rPr>
      </w:pPr>
      <w:r>
        <w:rPr>
          <w:rFonts w:ascii="Times New Roman" w:eastAsia="Times New Roman" w:hAnsi="Times New Roman" w:cs="Times New Roman"/>
          <w:b/>
          <w:color w:val="00B0F0"/>
          <w:sz w:val="24"/>
          <w:szCs w:val="24"/>
        </w:rPr>
        <w:lastRenderedPageBreak/>
        <w:t>O intervalo mínimo de diferença de valores entre os lances, que incidirá tanto em relação aos lances intermediários quanto em relação à proposta que cobrir a melhor oferta deverá ser de R$ 0,01 (um centavo de real)</w:t>
      </w:r>
      <w:r>
        <w:rPr>
          <w:rFonts w:ascii="Times New Roman" w:eastAsia="Times New Roman" w:hAnsi="Times New Roman" w:cs="Times New Roman"/>
          <w:b/>
          <w:color w:val="00B0F0"/>
          <w:sz w:val="24"/>
          <w:szCs w:val="24"/>
          <w:vertAlign w:val="superscript"/>
        </w:rPr>
        <w:footnoteReference w:id="37"/>
      </w:r>
      <w:r>
        <w:rPr>
          <w:rFonts w:ascii="Times New Roman" w:eastAsia="Times New Roman" w:hAnsi="Times New Roman" w:cs="Times New Roman"/>
          <w:b/>
          <w:color w:val="00B0F0"/>
          <w:sz w:val="24"/>
          <w:szCs w:val="24"/>
        </w:rPr>
        <w:t>.</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 licitante poderá, uma única vez, excl</w:t>
      </w:r>
      <w:r>
        <w:rPr>
          <w:rFonts w:ascii="Times New Roman" w:eastAsia="Times New Roman" w:hAnsi="Times New Roman" w:cs="Times New Roman"/>
          <w:sz w:val="24"/>
          <w:szCs w:val="24"/>
        </w:rPr>
        <w:t>uir seu último lance ofertado, no intervalo de 15 (quinze) segundos após o registro no sistema, na hipótese de lance inconsistente ou inexequível.</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b/>
          <w:color w:val="00B0F0"/>
          <w:sz w:val="24"/>
          <w:szCs w:val="24"/>
        </w:rPr>
      </w:pPr>
      <w:r>
        <w:rPr>
          <w:rFonts w:ascii="Times New Roman" w:eastAsia="Times New Roman" w:hAnsi="Times New Roman" w:cs="Times New Roman"/>
          <w:b/>
          <w:color w:val="00B0F0"/>
          <w:sz w:val="24"/>
          <w:szCs w:val="24"/>
        </w:rPr>
        <w:t>O procedimento seguirá de acordo com o modo de disputa adotado.</w:t>
      </w:r>
      <w:r>
        <w:rPr>
          <w:rFonts w:ascii="Times New Roman" w:eastAsia="Times New Roman" w:hAnsi="Times New Roman" w:cs="Times New Roman"/>
          <w:b/>
          <w:color w:val="00B0F0"/>
          <w:sz w:val="24"/>
          <w:szCs w:val="24"/>
          <w:vertAlign w:val="superscript"/>
        </w:rPr>
        <w:footnoteReference w:id="38"/>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b/>
          <w:color w:val="00B050"/>
          <w:sz w:val="24"/>
          <w:szCs w:val="24"/>
        </w:rPr>
      </w:pPr>
      <w:bookmarkStart w:id="20" w:name="_heading=h.26in1rg" w:colFirst="0" w:colLast="0"/>
      <w:bookmarkEnd w:id="20"/>
      <w:r>
        <w:rPr>
          <w:rFonts w:ascii="Times New Roman" w:eastAsia="Times New Roman" w:hAnsi="Times New Roman" w:cs="Times New Roman"/>
          <w:b/>
          <w:color w:val="00B050"/>
          <w:sz w:val="24"/>
          <w:szCs w:val="24"/>
        </w:rPr>
        <w:t>Adota-se neste pregão eletrônico, para o env</w:t>
      </w:r>
      <w:r>
        <w:rPr>
          <w:rFonts w:ascii="Times New Roman" w:eastAsia="Times New Roman" w:hAnsi="Times New Roman" w:cs="Times New Roman"/>
          <w:b/>
          <w:color w:val="00B050"/>
          <w:sz w:val="24"/>
          <w:szCs w:val="24"/>
        </w:rPr>
        <w:t xml:space="preserve">io de lances, </w:t>
      </w:r>
      <w:r>
        <w:rPr>
          <w:rFonts w:ascii="Times New Roman" w:eastAsia="Times New Roman" w:hAnsi="Times New Roman" w:cs="Times New Roman"/>
          <w:b/>
          <w:color w:val="00B050"/>
          <w:sz w:val="24"/>
          <w:szCs w:val="24"/>
          <w:u w:val="single"/>
        </w:rPr>
        <w:t>o modo de disputa “aberto”,</w:t>
      </w:r>
      <w:r>
        <w:rPr>
          <w:rFonts w:ascii="Times New Roman" w:eastAsia="Times New Roman" w:hAnsi="Times New Roman" w:cs="Times New Roman"/>
          <w:b/>
          <w:color w:val="00B050"/>
          <w:sz w:val="24"/>
          <w:szCs w:val="24"/>
        </w:rPr>
        <w:t xml:space="preserve"> em que os licitantes apresentarão lances públicos e sucessivos, com prorrogações.</w:t>
      </w:r>
      <w:r>
        <w:rPr>
          <w:rFonts w:ascii="Times New Roman" w:eastAsia="Times New Roman" w:hAnsi="Times New Roman" w:cs="Times New Roman"/>
          <w:b/>
          <w:color w:val="00B050"/>
          <w:sz w:val="24"/>
          <w:szCs w:val="24"/>
          <w:vertAlign w:val="superscript"/>
        </w:rPr>
        <w:footnoteReference w:id="39"/>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bookmarkStart w:id="21" w:name="_heading=h.lnxbz9" w:colFirst="0" w:colLast="0"/>
      <w:bookmarkEnd w:id="21"/>
      <w:r>
        <w:rPr>
          <w:rFonts w:ascii="Times New Roman" w:eastAsia="Times New Roman" w:hAnsi="Times New Roman" w:cs="Times New Roman"/>
          <w:color w:val="000000"/>
          <w:sz w:val="24"/>
          <w:szCs w:val="24"/>
        </w:rPr>
        <w:t>A etapa de lances da sessão pública terá duração de 10 (dez) minutos e, após isso, será prorrogada automaticamente pelo sistema quando houver lance ofertado nos últimos 02 (dois) minutos do período de duração da sessão pública.</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prorrogação automática da </w:t>
      </w:r>
      <w:r>
        <w:rPr>
          <w:rFonts w:ascii="Times New Roman" w:eastAsia="Times New Roman" w:hAnsi="Times New Roman" w:cs="Times New Roman"/>
          <w:color w:val="000000"/>
          <w:sz w:val="24"/>
          <w:szCs w:val="24"/>
        </w:rPr>
        <w:t>etapa de lances, de que trata o subitem anterior, será de 02 (dois) minutos e ocorrerá sucessivamente sempre que houver lances enviados nesse período de prorrogação, inclusive no caso de lances intermediários.</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Não havendo novos lances na forma estabelecida</w:t>
      </w:r>
      <w:r>
        <w:rPr>
          <w:rFonts w:ascii="Times New Roman" w:eastAsia="Times New Roman" w:hAnsi="Times New Roman" w:cs="Times New Roman"/>
          <w:color w:val="000000"/>
          <w:sz w:val="24"/>
          <w:szCs w:val="24"/>
        </w:rPr>
        <w:t xml:space="preserve"> nos itens anteriores, a sessão pública encerrar-se-á automaticamente, e o sistema ordenará e divulgará os lances conforme a ordem final de classificação, </w:t>
      </w:r>
      <w:r>
        <w:rPr>
          <w:rFonts w:ascii="Times New Roman" w:eastAsia="Times New Roman" w:hAnsi="Times New Roman" w:cs="Times New Roman"/>
          <w:sz w:val="24"/>
          <w:szCs w:val="24"/>
        </w:rPr>
        <w:t>sem prejuízo da aplicação da margem de preferência e do desempate ficto, conforme disposto neste Edit</w:t>
      </w:r>
      <w:r>
        <w:rPr>
          <w:rFonts w:ascii="Times New Roman" w:eastAsia="Times New Roman" w:hAnsi="Times New Roman" w:cs="Times New Roman"/>
          <w:sz w:val="24"/>
          <w:szCs w:val="24"/>
        </w:rPr>
        <w:t>al, quando for o caso.</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Definida a melhor proposta, se a diferença em relação à proposta classificada em segundo lugar for de pelo menos 5% (cinco por cento), o pregoeiro, auxiliado pela equipe de apoio, poderá admitir o reinício da disputa aberta, para a d</w:t>
      </w:r>
      <w:r>
        <w:rPr>
          <w:rFonts w:ascii="Times New Roman" w:eastAsia="Times New Roman" w:hAnsi="Times New Roman" w:cs="Times New Roman"/>
          <w:color w:val="000000"/>
          <w:sz w:val="24"/>
          <w:szCs w:val="24"/>
        </w:rPr>
        <w:t>efinição das demais colocações.</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bookmarkStart w:id="22" w:name="_heading=h.35nkun2" w:colFirst="0" w:colLast="0"/>
      <w:bookmarkEnd w:id="22"/>
      <w:r>
        <w:rPr>
          <w:rFonts w:ascii="Times New Roman" w:eastAsia="Times New Roman" w:hAnsi="Times New Roman" w:cs="Times New Roman"/>
          <w:color w:val="000000"/>
          <w:sz w:val="24"/>
          <w:szCs w:val="24"/>
        </w:rPr>
        <w:t>Após o reinício previsto no item supra, os licitantes serão convocados para apresentar lances intermediários.</w:t>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trike/>
          <w:sz w:val="24"/>
          <w:szCs w:val="24"/>
        </w:rPr>
      </w:pPr>
      <w:r>
        <w:rPr>
          <w:rFonts w:ascii="Times New Roman" w:eastAsia="Times New Roman" w:hAnsi="Times New Roman" w:cs="Times New Roman"/>
          <w:strike/>
          <w:sz w:val="24"/>
          <w:szCs w:val="24"/>
        </w:rPr>
        <w:lastRenderedPageBreak/>
        <w:t xml:space="preserve">Caso seja adotado para o envio de lances no pregão eletrônico o </w:t>
      </w:r>
      <w:r>
        <w:rPr>
          <w:rFonts w:ascii="Times New Roman" w:eastAsia="Times New Roman" w:hAnsi="Times New Roman" w:cs="Times New Roman"/>
          <w:b/>
          <w:strike/>
          <w:sz w:val="24"/>
          <w:szCs w:val="24"/>
        </w:rPr>
        <w:t>modo de disputa “aberto e fechado”</w:t>
      </w:r>
      <w:r>
        <w:rPr>
          <w:rFonts w:ascii="Times New Roman" w:eastAsia="Times New Roman" w:hAnsi="Times New Roman" w:cs="Times New Roman"/>
          <w:strike/>
          <w:sz w:val="24"/>
          <w:szCs w:val="24"/>
        </w:rPr>
        <w:t xml:space="preserve">, os licitantes </w:t>
      </w:r>
      <w:r>
        <w:rPr>
          <w:rFonts w:ascii="Times New Roman" w:eastAsia="Times New Roman" w:hAnsi="Times New Roman" w:cs="Times New Roman"/>
          <w:strike/>
          <w:sz w:val="24"/>
          <w:szCs w:val="24"/>
        </w:rPr>
        <w:t>apresentarão lances públicos e sucessivos, com lance final e fechado.</w:t>
      </w:r>
      <w:r>
        <w:rPr>
          <w:rFonts w:ascii="Times New Roman" w:eastAsia="Times New Roman" w:hAnsi="Times New Roman" w:cs="Times New Roman"/>
          <w:b/>
          <w:strike/>
          <w:sz w:val="24"/>
          <w:szCs w:val="24"/>
          <w:vertAlign w:val="superscript"/>
        </w:rPr>
        <w:footnoteReference w:id="40"/>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sz w:val="24"/>
          <w:szCs w:val="24"/>
        </w:rPr>
        <w:t xml:space="preserve">A etapa de lances da sessão pública terá duração inicial de quinze minutos. Após esse prazo, o sistema encaminhará aviso de fechamento iminente dos lances, após o que transcorrerá o período de até 10 (dez) minutos, aleatoriamente determinado, findo o qual </w:t>
      </w:r>
      <w:r>
        <w:rPr>
          <w:rFonts w:ascii="Times New Roman" w:eastAsia="Times New Roman" w:hAnsi="Times New Roman" w:cs="Times New Roman"/>
          <w:strike/>
          <w:sz w:val="24"/>
          <w:szCs w:val="24"/>
        </w:rPr>
        <w:t>será automaticamente encerrada a recepção de lances.</w:t>
      </w:r>
      <w:r>
        <w:rPr>
          <w:rFonts w:ascii="Times New Roman" w:eastAsia="Times New Roman" w:hAnsi="Times New Roman" w:cs="Times New Roman"/>
          <w:b/>
          <w:strike/>
          <w:color w:val="000000"/>
          <w:sz w:val="24"/>
          <w:szCs w:val="24"/>
          <w:vertAlign w:val="superscript"/>
        </w:rPr>
        <w:footnoteReference w:id="41"/>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sz w:val="24"/>
          <w:szCs w:val="24"/>
        </w:rPr>
        <w:t xml:space="preserve">Encerrado o prazo previsto no subitem anterior, o sistema abrirá oportunidade para que o autor da oferta de valor mais baixo e os das ofertas com preços até 10% (dez por cento) </w:t>
      </w:r>
      <w:proofErr w:type="spellStart"/>
      <w:r>
        <w:rPr>
          <w:rFonts w:ascii="Times New Roman" w:eastAsia="Times New Roman" w:hAnsi="Times New Roman" w:cs="Times New Roman"/>
          <w:strike/>
          <w:sz w:val="24"/>
          <w:szCs w:val="24"/>
        </w:rPr>
        <w:t>superiores</w:t>
      </w:r>
      <w:proofErr w:type="spellEnd"/>
      <w:r>
        <w:rPr>
          <w:rFonts w:ascii="Times New Roman" w:eastAsia="Times New Roman" w:hAnsi="Times New Roman" w:cs="Times New Roman"/>
          <w:strike/>
          <w:sz w:val="24"/>
          <w:szCs w:val="24"/>
        </w:rPr>
        <w:t xml:space="preserve"> àquela possam </w:t>
      </w:r>
      <w:r>
        <w:rPr>
          <w:rFonts w:ascii="Times New Roman" w:eastAsia="Times New Roman" w:hAnsi="Times New Roman" w:cs="Times New Roman"/>
          <w:strike/>
          <w:sz w:val="24"/>
          <w:szCs w:val="24"/>
        </w:rPr>
        <w:t>ofertar um lance final e fechado em até 05 (cinco) minutos, o qual será sigiloso até o encerramento deste prazo.</w:t>
      </w:r>
      <w:r>
        <w:rPr>
          <w:rFonts w:ascii="Times New Roman" w:eastAsia="Times New Roman" w:hAnsi="Times New Roman" w:cs="Times New Roman"/>
          <w:b/>
          <w:strike/>
          <w:color w:val="000000"/>
          <w:sz w:val="24"/>
          <w:szCs w:val="24"/>
          <w:vertAlign w:val="superscript"/>
        </w:rPr>
        <w:footnoteReference w:id="42"/>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strike/>
          <w:sz w:val="24"/>
          <w:szCs w:val="24"/>
        </w:rPr>
      </w:pPr>
      <w:r>
        <w:rPr>
          <w:rFonts w:ascii="Times New Roman" w:eastAsia="Times New Roman" w:hAnsi="Times New Roman" w:cs="Times New Roman"/>
          <w:strike/>
          <w:sz w:val="24"/>
          <w:szCs w:val="24"/>
        </w:rPr>
        <w:t>Caso o item em disputa envolva objeto abrangido por margem de preferência, o percentual referido na disposição anterior será de 20% (vinte por</w:t>
      </w:r>
      <w:r>
        <w:rPr>
          <w:rFonts w:ascii="Times New Roman" w:eastAsia="Times New Roman" w:hAnsi="Times New Roman" w:cs="Times New Roman"/>
          <w:strike/>
          <w:sz w:val="24"/>
          <w:szCs w:val="24"/>
        </w:rPr>
        <w:t xml:space="preserve"> cento), nos termos do § 6º do artigo 24 da Instrução Normativa SEGES/ME nº 73, de 30 de setembro de 2022, incluído pela Instrução Normativa SEGES/MGI nº 79, de 12 de setembro de 2024.</w:t>
      </w:r>
      <w:r>
        <w:rPr>
          <w:rFonts w:ascii="Times New Roman" w:eastAsia="Times New Roman" w:hAnsi="Times New Roman" w:cs="Times New Roman"/>
          <w:b/>
          <w:strike/>
          <w:sz w:val="24"/>
          <w:szCs w:val="24"/>
          <w:vertAlign w:val="superscript"/>
        </w:rPr>
        <w:footnoteReference w:id="43"/>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sz w:val="24"/>
          <w:szCs w:val="24"/>
        </w:rPr>
        <w:t>No procedimento de que trata o subitem supra, o licitante poderá optar</w:t>
      </w:r>
      <w:r>
        <w:rPr>
          <w:rFonts w:ascii="Times New Roman" w:eastAsia="Times New Roman" w:hAnsi="Times New Roman" w:cs="Times New Roman"/>
          <w:strike/>
          <w:sz w:val="24"/>
          <w:szCs w:val="24"/>
        </w:rPr>
        <w:t xml:space="preserve"> por manter o seu último lance da etapa aberta, ou por ofertar melhor lance.</w:t>
      </w:r>
      <w:r>
        <w:rPr>
          <w:rFonts w:ascii="Times New Roman" w:eastAsia="Times New Roman" w:hAnsi="Times New Roman" w:cs="Times New Roman"/>
          <w:b/>
          <w:strike/>
          <w:color w:val="000000"/>
          <w:sz w:val="24"/>
          <w:szCs w:val="24"/>
          <w:vertAlign w:val="superscript"/>
        </w:rPr>
        <w:footnoteReference w:id="44"/>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sz w:val="24"/>
          <w:szCs w:val="24"/>
        </w:rPr>
        <w:t>Não havendo pelo menos três ofertas nas condições definidas neste item, poderão os autores dos melhores lances subsequentes, na ordem de classificação, até o máximo de três, ofer</w:t>
      </w:r>
      <w:r>
        <w:rPr>
          <w:rFonts w:ascii="Times New Roman" w:eastAsia="Times New Roman" w:hAnsi="Times New Roman" w:cs="Times New Roman"/>
          <w:strike/>
          <w:sz w:val="24"/>
          <w:szCs w:val="24"/>
        </w:rPr>
        <w:t>ecer um lance final e fechado em até cinco minutos, o qual será sigiloso até o encerramento deste prazo.</w:t>
      </w:r>
      <w:r>
        <w:rPr>
          <w:rFonts w:ascii="Times New Roman" w:eastAsia="Times New Roman" w:hAnsi="Times New Roman" w:cs="Times New Roman"/>
          <w:b/>
          <w:strike/>
          <w:color w:val="000000"/>
          <w:sz w:val="24"/>
          <w:szCs w:val="24"/>
          <w:vertAlign w:val="superscript"/>
        </w:rPr>
        <w:footnoteReference w:id="45"/>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sz w:val="24"/>
          <w:szCs w:val="24"/>
        </w:rPr>
        <w:t>Após o término dos prazos estabelecidos nos itens anteriores, o sistema ordenará e divulgará os lances segundo a ordem crescente de valores.</w:t>
      </w:r>
      <w:r>
        <w:rPr>
          <w:rFonts w:ascii="Times New Roman" w:eastAsia="Times New Roman" w:hAnsi="Times New Roman" w:cs="Times New Roman"/>
          <w:b/>
          <w:strike/>
          <w:color w:val="000000"/>
          <w:sz w:val="24"/>
          <w:szCs w:val="24"/>
          <w:vertAlign w:val="superscript"/>
        </w:rPr>
        <w:footnoteReference w:id="46"/>
      </w:r>
    </w:p>
    <w:p w:rsidR="008C7EA8" w:rsidRDefault="007C04D2">
      <w:pPr>
        <w:numPr>
          <w:ilvl w:val="1"/>
          <w:numId w:val="2"/>
        </w:numPr>
        <w:tabs>
          <w:tab w:val="left" w:pos="1418"/>
          <w:tab w:val="left" w:pos="1701"/>
        </w:tabs>
        <w:spacing w:line="360" w:lineRule="auto"/>
        <w:ind w:left="0" w:firstLine="0"/>
        <w:jc w:val="both"/>
        <w:rPr>
          <w:rFonts w:ascii="Times New Roman" w:eastAsia="Times New Roman" w:hAnsi="Times New Roman" w:cs="Times New Roman"/>
          <w:strike/>
          <w:sz w:val="24"/>
          <w:szCs w:val="24"/>
        </w:rPr>
      </w:pPr>
      <w:bookmarkStart w:id="23" w:name="_heading=h.147n2zr" w:colFirst="0" w:colLast="0"/>
      <w:bookmarkEnd w:id="23"/>
      <w:r>
        <w:rPr>
          <w:rFonts w:ascii="Times New Roman" w:eastAsia="Times New Roman" w:hAnsi="Times New Roman" w:cs="Times New Roman"/>
          <w:strike/>
          <w:sz w:val="24"/>
          <w:szCs w:val="24"/>
        </w:rPr>
        <w:lastRenderedPageBreak/>
        <w:t>Caso sej</w:t>
      </w:r>
      <w:r>
        <w:rPr>
          <w:rFonts w:ascii="Times New Roman" w:eastAsia="Times New Roman" w:hAnsi="Times New Roman" w:cs="Times New Roman"/>
          <w:strike/>
          <w:sz w:val="24"/>
          <w:szCs w:val="24"/>
        </w:rPr>
        <w:t xml:space="preserve">a adotado para o envio de lances no pregão eletrônico o </w:t>
      </w:r>
      <w:r>
        <w:rPr>
          <w:rFonts w:ascii="Times New Roman" w:eastAsia="Times New Roman" w:hAnsi="Times New Roman" w:cs="Times New Roman"/>
          <w:b/>
          <w:strike/>
          <w:sz w:val="24"/>
          <w:szCs w:val="24"/>
        </w:rPr>
        <w:t>modo de disputa “fechado e aberto”</w:t>
      </w:r>
      <w:r>
        <w:rPr>
          <w:rFonts w:ascii="Times New Roman" w:eastAsia="Times New Roman" w:hAnsi="Times New Roman" w:cs="Times New Roman"/>
          <w:strike/>
          <w:sz w:val="24"/>
          <w:szCs w:val="24"/>
        </w:rPr>
        <w:t>, poderão participar da etapa aberta somente os licitantes que apresentarem a proposta de menor preço/ maior percentual de desconto e os das propostas até 10% (dez po</w:t>
      </w:r>
      <w:r>
        <w:rPr>
          <w:rFonts w:ascii="Times New Roman" w:eastAsia="Times New Roman" w:hAnsi="Times New Roman" w:cs="Times New Roman"/>
          <w:strike/>
          <w:sz w:val="24"/>
          <w:szCs w:val="24"/>
        </w:rPr>
        <w:t>r cento) superiores/inferiores àquela, em que os licitantes apresentarão lances públicos e sucessivos, até o encerramento da sessão e eventuais prorrogações.</w:t>
      </w:r>
      <w:r>
        <w:rPr>
          <w:rFonts w:ascii="Times New Roman" w:eastAsia="Times New Roman" w:hAnsi="Times New Roman" w:cs="Times New Roman"/>
          <w:b/>
          <w:strike/>
          <w:sz w:val="24"/>
          <w:szCs w:val="24"/>
          <w:vertAlign w:val="superscript"/>
        </w:rPr>
        <w:footnoteReference w:id="47"/>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strike/>
          <w:sz w:val="24"/>
          <w:szCs w:val="24"/>
        </w:rPr>
      </w:pPr>
      <w:r>
        <w:rPr>
          <w:rFonts w:ascii="Times New Roman" w:eastAsia="Times New Roman" w:hAnsi="Times New Roman" w:cs="Times New Roman"/>
          <w:strike/>
          <w:sz w:val="24"/>
          <w:szCs w:val="24"/>
        </w:rPr>
        <w:t xml:space="preserve">Caso o item em disputa envolva objeto abrangido por margem de preferência, o percentual referido </w:t>
      </w:r>
      <w:r>
        <w:rPr>
          <w:rFonts w:ascii="Times New Roman" w:eastAsia="Times New Roman" w:hAnsi="Times New Roman" w:cs="Times New Roman"/>
          <w:strike/>
          <w:sz w:val="24"/>
          <w:szCs w:val="24"/>
        </w:rPr>
        <w:t>na disposição anterior será de 20% (vinte por cento), nos termos do § 5º do artigo 25 da Instrução Normativa SEGES/ME nº 73, de 30 de setembro de 2022, incluído pela Instrução Normativa SEGES/MGI nº 79, de 12 de setembro de 2024.</w:t>
      </w:r>
      <w:r>
        <w:rPr>
          <w:rFonts w:ascii="Times New Roman" w:eastAsia="Times New Roman" w:hAnsi="Times New Roman" w:cs="Times New Roman"/>
          <w:b/>
          <w:strike/>
          <w:sz w:val="24"/>
          <w:szCs w:val="24"/>
          <w:vertAlign w:val="superscript"/>
        </w:rPr>
        <w:footnoteReference w:id="48"/>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sz w:val="24"/>
          <w:szCs w:val="24"/>
        </w:rPr>
        <w:t>Não havendo pelo menos 03</w:t>
      </w:r>
      <w:r>
        <w:rPr>
          <w:rFonts w:ascii="Times New Roman" w:eastAsia="Times New Roman" w:hAnsi="Times New Roman" w:cs="Times New Roman"/>
          <w:strike/>
          <w:sz w:val="24"/>
          <w:szCs w:val="24"/>
        </w:rPr>
        <w:t xml:space="preserve"> (três) propostas nas condições definidas no item 6.13, poderão os licitantes que apresentaram as três melhores propostas, consideradas as empatadas, oferecer novos lances sucessivos.</w:t>
      </w:r>
      <w:r>
        <w:rPr>
          <w:rFonts w:ascii="Times New Roman" w:eastAsia="Times New Roman" w:hAnsi="Times New Roman" w:cs="Times New Roman"/>
          <w:b/>
          <w:strike/>
          <w:color w:val="000000"/>
          <w:sz w:val="24"/>
          <w:szCs w:val="24"/>
          <w:vertAlign w:val="superscript"/>
        </w:rPr>
        <w:footnoteReference w:id="49"/>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sz w:val="24"/>
          <w:szCs w:val="24"/>
        </w:rPr>
        <w:t>A etapa de lances da sessão pública terá duração de dez minutos e, após</w:t>
      </w:r>
      <w:r>
        <w:rPr>
          <w:rFonts w:ascii="Times New Roman" w:eastAsia="Times New Roman" w:hAnsi="Times New Roman" w:cs="Times New Roman"/>
          <w:strike/>
          <w:sz w:val="24"/>
          <w:szCs w:val="24"/>
        </w:rPr>
        <w:t xml:space="preserve"> isso, será prorrogada automaticamente pelo sistema quando houver lance ofertado nos últimos dois minutos do período de duração da sessão pública.</w:t>
      </w:r>
      <w:r>
        <w:rPr>
          <w:rFonts w:ascii="Times New Roman" w:eastAsia="Times New Roman" w:hAnsi="Times New Roman" w:cs="Times New Roman"/>
          <w:b/>
          <w:strike/>
          <w:color w:val="000000"/>
          <w:sz w:val="24"/>
          <w:szCs w:val="24"/>
          <w:vertAlign w:val="superscript"/>
        </w:rPr>
        <w:footnoteReference w:id="50"/>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sz w:val="24"/>
          <w:szCs w:val="24"/>
        </w:rPr>
        <w:t>A prorrogação automática da etapa de lances, de que trata o subitem anterior, será de dois minutos e ocorrer</w:t>
      </w:r>
      <w:r>
        <w:rPr>
          <w:rFonts w:ascii="Times New Roman" w:eastAsia="Times New Roman" w:hAnsi="Times New Roman" w:cs="Times New Roman"/>
          <w:strike/>
          <w:sz w:val="24"/>
          <w:szCs w:val="24"/>
        </w:rPr>
        <w:t>á sucessivamente sempre que houver lances enviados nesse período de prorrogação, inclusive no caso de lances intermediários.</w:t>
      </w:r>
      <w:r>
        <w:rPr>
          <w:rFonts w:ascii="Times New Roman" w:eastAsia="Times New Roman" w:hAnsi="Times New Roman" w:cs="Times New Roman"/>
          <w:b/>
          <w:strike/>
          <w:color w:val="000000"/>
          <w:sz w:val="24"/>
          <w:szCs w:val="24"/>
          <w:vertAlign w:val="superscript"/>
        </w:rPr>
        <w:footnoteReference w:id="51"/>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sz w:val="24"/>
          <w:szCs w:val="24"/>
        </w:rPr>
        <w:t>Não havendo novos lances na forma estabelecida nos itens anteriores, a sessão pública encerrar-se-á automaticamente, e o sistema o</w:t>
      </w:r>
      <w:r>
        <w:rPr>
          <w:rFonts w:ascii="Times New Roman" w:eastAsia="Times New Roman" w:hAnsi="Times New Roman" w:cs="Times New Roman"/>
          <w:strike/>
          <w:sz w:val="24"/>
          <w:szCs w:val="24"/>
        </w:rPr>
        <w:t>rdenará e divulgará os lances conforme a ordem final de classificação.</w:t>
      </w:r>
      <w:r>
        <w:rPr>
          <w:rFonts w:ascii="Times New Roman" w:eastAsia="Times New Roman" w:hAnsi="Times New Roman" w:cs="Times New Roman"/>
          <w:b/>
          <w:strike/>
          <w:color w:val="000000"/>
          <w:sz w:val="24"/>
          <w:szCs w:val="24"/>
          <w:vertAlign w:val="superscript"/>
        </w:rPr>
        <w:footnoteReference w:id="52"/>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sz w:val="24"/>
          <w:szCs w:val="24"/>
        </w:rPr>
        <w:t xml:space="preserve">Definida a melhor proposta, se a diferença em relação à proposta classificada em segundo lugar for de pelo menos 5% (cinco por cento), o Pregoeiro/Agente de </w:t>
      </w:r>
      <w:r>
        <w:rPr>
          <w:rFonts w:ascii="Times New Roman" w:eastAsia="Times New Roman" w:hAnsi="Times New Roman" w:cs="Times New Roman"/>
          <w:strike/>
          <w:sz w:val="24"/>
          <w:szCs w:val="24"/>
        </w:rPr>
        <w:lastRenderedPageBreak/>
        <w:t>Contratação/Comissão, auxil</w:t>
      </w:r>
      <w:r>
        <w:rPr>
          <w:rFonts w:ascii="Times New Roman" w:eastAsia="Times New Roman" w:hAnsi="Times New Roman" w:cs="Times New Roman"/>
          <w:strike/>
          <w:sz w:val="24"/>
          <w:szCs w:val="24"/>
        </w:rPr>
        <w:t>iado pela equipe de apoio, poderá admitir o reinício da disputa aberta, para a definição das demais colocações.</w:t>
      </w:r>
      <w:r>
        <w:rPr>
          <w:rFonts w:ascii="Times New Roman" w:eastAsia="Times New Roman" w:hAnsi="Times New Roman" w:cs="Times New Roman"/>
          <w:b/>
          <w:strike/>
          <w:color w:val="000000"/>
          <w:sz w:val="24"/>
          <w:szCs w:val="24"/>
          <w:vertAlign w:val="superscript"/>
        </w:rPr>
        <w:footnoteReference w:id="53"/>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sz w:val="24"/>
          <w:szCs w:val="24"/>
        </w:rPr>
        <w:t>Após o reinício previsto no subitem supra, os licitantes serão convocados para apresentar lances intermediários.</w:t>
      </w:r>
      <w:r>
        <w:rPr>
          <w:rFonts w:ascii="Times New Roman" w:eastAsia="Times New Roman" w:hAnsi="Times New Roman" w:cs="Times New Roman"/>
          <w:b/>
          <w:strike/>
          <w:color w:val="000000"/>
          <w:sz w:val="24"/>
          <w:szCs w:val="24"/>
          <w:vertAlign w:val="superscript"/>
        </w:rPr>
        <w:footnoteReference w:id="54"/>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Após o término dos prazos estabelecidos nos subitens anteriores, o sistema ordenará e divulgará os lances segundo a ordem crescente de valores</w:t>
      </w:r>
      <w:r>
        <w:rPr>
          <w:rFonts w:ascii="Times New Roman" w:eastAsia="Times New Roman" w:hAnsi="Times New Roman" w:cs="Times New Roman"/>
          <w:i/>
          <w:color w:val="000000"/>
          <w:sz w:val="24"/>
          <w:szCs w:val="24"/>
        </w:rPr>
        <w:t>.</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Não serão aceitos 02 (dois) ou mais lances de mesmo valor, prevalecendo aquele que for recebido e registrado em primeiro lugar.</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Durante o transcurso da sessão pública, os licitantes serão informados, em tempo real, do valor do menor lance registrado, vedad</w:t>
      </w:r>
      <w:r>
        <w:rPr>
          <w:rFonts w:ascii="Times New Roman" w:eastAsia="Times New Roman" w:hAnsi="Times New Roman" w:cs="Times New Roman"/>
          <w:color w:val="000000"/>
          <w:sz w:val="24"/>
          <w:szCs w:val="24"/>
        </w:rPr>
        <w:t>a a identificação do licitante.</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No caso de desconexão com o </w:t>
      </w:r>
      <w:r>
        <w:rPr>
          <w:rFonts w:ascii="Times New Roman" w:eastAsia="Times New Roman" w:hAnsi="Times New Roman" w:cs="Times New Roman"/>
          <w:b/>
          <w:color w:val="000000"/>
          <w:sz w:val="24"/>
          <w:szCs w:val="24"/>
        </w:rPr>
        <w:t>Pregoeiro</w:t>
      </w:r>
      <w:r>
        <w:rPr>
          <w:rFonts w:ascii="Times New Roman" w:eastAsia="Times New Roman" w:hAnsi="Times New Roman" w:cs="Times New Roman"/>
          <w:color w:val="000000"/>
          <w:sz w:val="24"/>
          <w:szCs w:val="24"/>
        </w:rPr>
        <w:t>, no decorrer da etapa competitiva do Pregão, o sistema eletrônico poderá permanecer acessível aos licitantes para a recepção dos lances.</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Quando a desconexão do sistema eletrônico para o </w:t>
      </w:r>
      <w:r>
        <w:rPr>
          <w:rFonts w:ascii="Times New Roman" w:eastAsia="Times New Roman" w:hAnsi="Times New Roman" w:cs="Times New Roman"/>
          <w:b/>
          <w:sz w:val="24"/>
          <w:szCs w:val="24"/>
        </w:rPr>
        <w:t>Pregoeiro</w:t>
      </w:r>
      <w:r>
        <w:rPr>
          <w:rFonts w:ascii="Times New Roman" w:eastAsia="Times New Roman" w:hAnsi="Times New Roman" w:cs="Times New Roman"/>
          <w:color w:val="000000"/>
          <w:sz w:val="24"/>
          <w:szCs w:val="24"/>
        </w:rPr>
        <w:t xml:space="preserve"> persistir por tempo superior a 10 (dez) minutos, a sessão pública será suspensa e reiniciada somente após decorridas 24 (vinte e quatro) horas da comunicação do fato pelo </w:t>
      </w:r>
      <w:r>
        <w:rPr>
          <w:rFonts w:ascii="Times New Roman" w:eastAsia="Times New Roman" w:hAnsi="Times New Roman" w:cs="Times New Roman"/>
          <w:b/>
          <w:sz w:val="24"/>
          <w:szCs w:val="24"/>
        </w:rPr>
        <w:t>Pregoeiro</w:t>
      </w:r>
      <w:r>
        <w:rPr>
          <w:rFonts w:ascii="Times New Roman" w:eastAsia="Times New Roman" w:hAnsi="Times New Roman" w:cs="Times New Roman"/>
          <w:color w:val="000000"/>
          <w:sz w:val="24"/>
          <w:szCs w:val="24"/>
        </w:rPr>
        <w:t xml:space="preserve"> aos participantes, no sítio eletrônico utilizado para divulgação.</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Caso o licitante não apresente lances, concorrerá com o valor de sua proposta.</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Ao final da fase de lances, será aplicado o benefício da margem de preferência, nos termos do art. 26 da Lei nº 14.133/21.</w:t>
      </w:r>
      <w:r>
        <w:rPr>
          <w:rFonts w:ascii="Times New Roman" w:eastAsia="Times New Roman" w:hAnsi="Times New Roman" w:cs="Times New Roman"/>
          <w:strike/>
          <w:color w:val="000000"/>
          <w:sz w:val="24"/>
          <w:szCs w:val="24"/>
          <w:vertAlign w:val="superscript"/>
        </w:rPr>
        <w:footnoteReference w:id="55"/>
      </w:r>
    </w:p>
    <w:p w:rsidR="008C7EA8" w:rsidRDefault="007C04D2">
      <w:pPr>
        <w:numPr>
          <w:ilvl w:val="2"/>
          <w:numId w:val="2"/>
        </w:numPr>
        <w:pBdr>
          <w:top w:val="nil"/>
          <w:left w:val="nil"/>
          <w:bottom w:val="nil"/>
          <w:right w:val="nil"/>
          <w:between w:val="nil"/>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Para produtos ou serviços abrangidos por margem de p</w:t>
      </w:r>
      <w:r>
        <w:rPr>
          <w:rFonts w:ascii="Times New Roman" w:eastAsia="Times New Roman" w:hAnsi="Times New Roman" w:cs="Times New Roman"/>
          <w:strike/>
          <w:color w:val="000000"/>
          <w:sz w:val="24"/>
          <w:szCs w:val="24"/>
        </w:rPr>
        <w:t>referência normal ou adicional, caso a proposta de menor preço não tenha por objeto produto ou serviço contemplado pela referida margem, o sistema automaticamente indicará as propostas de produtos ou serviços que façam jus ao diferencial de preço, pela ord</w:t>
      </w:r>
      <w:r>
        <w:rPr>
          <w:rFonts w:ascii="Times New Roman" w:eastAsia="Times New Roman" w:hAnsi="Times New Roman" w:cs="Times New Roman"/>
          <w:strike/>
          <w:color w:val="000000"/>
          <w:sz w:val="24"/>
          <w:szCs w:val="24"/>
        </w:rPr>
        <w:t xml:space="preserve">em de classificação, para fins de aceitação pelo </w:t>
      </w:r>
      <w:r>
        <w:rPr>
          <w:rFonts w:ascii="Times New Roman" w:eastAsia="Times New Roman" w:hAnsi="Times New Roman" w:cs="Times New Roman"/>
          <w:b/>
          <w:strike/>
          <w:color w:val="000000"/>
          <w:sz w:val="24"/>
          <w:szCs w:val="24"/>
        </w:rPr>
        <w:t>Pregoeiro.</w:t>
      </w:r>
      <w:r>
        <w:rPr>
          <w:rFonts w:ascii="Times New Roman" w:eastAsia="Times New Roman" w:hAnsi="Times New Roman" w:cs="Times New Roman"/>
          <w:b/>
          <w:strike/>
          <w:color w:val="000000"/>
          <w:sz w:val="24"/>
          <w:szCs w:val="24"/>
          <w:vertAlign w:val="superscript"/>
        </w:rPr>
        <w:footnoteReference w:id="56"/>
      </w:r>
    </w:p>
    <w:p w:rsidR="008C7EA8" w:rsidRDefault="007C04D2">
      <w:pPr>
        <w:numPr>
          <w:ilvl w:val="2"/>
          <w:numId w:val="2"/>
        </w:numPr>
        <w:pBdr>
          <w:top w:val="nil"/>
          <w:left w:val="nil"/>
          <w:bottom w:val="nil"/>
          <w:right w:val="nil"/>
          <w:between w:val="nil"/>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lastRenderedPageBreak/>
        <w:t>Nestas situações, a proposta beneficiada pela aplicação da margem de preferência normal ou adicional, conforme o caso, tornar-se-á a proposta classificada em primeiro lugar.</w:t>
      </w:r>
      <w:r>
        <w:rPr>
          <w:rFonts w:ascii="Times New Roman" w:eastAsia="Times New Roman" w:hAnsi="Times New Roman" w:cs="Times New Roman"/>
          <w:strike/>
          <w:color w:val="000000"/>
          <w:sz w:val="24"/>
          <w:szCs w:val="24"/>
          <w:vertAlign w:val="superscript"/>
        </w:rPr>
        <w:footnoteReference w:id="57"/>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Em relação a itens não exclusivos para participação de microempresas e empresas de pequeno porte, uma vez encerrada a etapa de lances, será efetivada a verificação automática, junto à Receita Federal, do porte da entidade empresarial, caso a contratação nã</w:t>
      </w:r>
      <w:r>
        <w:rPr>
          <w:rFonts w:ascii="Times New Roman" w:eastAsia="Times New Roman" w:hAnsi="Times New Roman" w:cs="Times New Roman"/>
          <w:color w:val="000000"/>
          <w:sz w:val="24"/>
          <w:szCs w:val="24"/>
        </w:rPr>
        <w:t xml:space="preserve">o se enquadre nas vedações dos </w:t>
      </w:r>
      <w:r>
        <w:rPr>
          <w:rFonts w:ascii="Times New Roman" w:eastAsia="Times New Roman" w:hAnsi="Times New Roman" w:cs="Times New Roman"/>
          <w:sz w:val="24"/>
          <w:szCs w:val="24"/>
        </w:rPr>
        <w:t>§§1º e 2º do art. 4º da Lei nº 14.133, de 2021.</w:t>
      </w:r>
      <w:r>
        <w:rPr>
          <w:rFonts w:ascii="Times New Roman" w:eastAsia="Times New Roman" w:hAnsi="Times New Roman" w:cs="Times New Roman"/>
          <w:color w:val="000000"/>
          <w:sz w:val="24"/>
          <w:szCs w:val="24"/>
        </w:rPr>
        <w:t xml:space="preserve"> O sistema identificará em coluna própria as microempresas e empresas de pequeno porte participantes, procedendo à comparação com os valores da primeira colocada, se esta for emp</w:t>
      </w:r>
      <w:r>
        <w:rPr>
          <w:rFonts w:ascii="Times New Roman" w:eastAsia="Times New Roman" w:hAnsi="Times New Roman" w:cs="Times New Roman"/>
          <w:color w:val="000000"/>
          <w:sz w:val="24"/>
          <w:szCs w:val="24"/>
        </w:rPr>
        <w:t xml:space="preserve">resa de maior porte, assim como das demais classificadas, para o fim de aplicar-se o disposto nos </w:t>
      </w:r>
      <w:hyperlink r:id="rId26" w:anchor="art44">
        <w:r>
          <w:rPr>
            <w:rFonts w:ascii="Times New Roman" w:eastAsia="Times New Roman" w:hAnsi="Times New Roman" w:cs="Times New Roman"/>
            <w:color w:val="000000"/>
            <w:sz w:val="24"/>
            <w:szCs w:val="24"/>
          </w:rPr>
          <w:t>arts. 44 e 45 da Lei Complementar nº 123, de 2006</w:t>
        </w:r>
      </w:hyperlink>
      <w:r>
        <w:rPr>
          <w:rFonts w:ascii="Times New Roman" w:eastAsia="Times New Roman" w:hAnsi="Times New Roman" w:cs="Times New Roman"/>
          <w:color w:val="000000"/>
          <w:sz w:val="24"/>
          <w:szCs w:val="24"/>
        </w:rPr>
        <w:t xml:space="preserve">, regulamentada pelo </w:t>
      </w:r>
      <w:hyperlink r:id="rId27">
        <w:r>
          <w:rPr>
            <w:rFonts w:ascii="Times New Roman" w:eastAsia="Times New Roman" w:hAnsi="Times New Roman" w:cs="Times New Roman"/>
            <w:color w:val="000000"/>
            <w:sz w:val="24"/>
            <w:szCs w:val="24"/>
          </w:rPr>
          <w:t>Decreto nº 8.538, de 2015</w:t>
        </w:r>
      </w:hyperlink>
      <w:r>
        <w:rPr>
          <w:rFonts w:ascii="Times New Roman" w:eastAsia="Times New Roman" w:hAnsi="Times New Roman" w:cs="Times New Roman"/>
          <w:color w:val="000000"/>
          <w:sz w:val="24"/>
          <w:szCs w:val="24"/>
        </w:rPr>
        <w:t>.</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Quando houver propostas beneficiadas com as margens de preferência, apenas poderão se valer do critério de desempate previsto nos arts. 44 e 45 da Lei Complementar nº 123, de 2006, as propostas de microempresas e empresas de pequeno porte que também fizere</w:t>
      </w:r>
      <w:r>
        <w:rPr>
          <w:rFonts w:ascii="Times New Roman" w:eastAsia="Times New Roman" w:hAnsi="Times New Roman" w:cs="Times New Roman"/>
          <w:sz w:val="24"/>
          <w:szCs w:val="24"/>
        </w:rPr>
        <w:t>m jus às margens de preferência (art. 5º, §9º, I, do Decreto nº 8538, de 2015).</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O parâmetro para o empate ficto, nesse caso, consistirá no preço ofertado pela fornecedora classificada em primeiro lugar em razão da aplicação da margem de preferência.</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Nessas</w:t>
      </w:r>
      <w:r>
        <w:rPr>
          <w:rFonts w:ascii="Times New Roman" w:eastAsia="Times New Roman" w:hAnsi="Times New Roman" w:cs="Times New Roman"/>
          <w:color w:val="000000"/>
          <w:sz w:val="24"/>
          <w:szCs w:val="24"/>
        </w:rPr>
        <w:t xml:space="preserve"> condições, as propostas de microempresas e empresas de pequeno porte que se encontrarem na faixa </w:t>
      </w:r>
      <w:r>
        <w:rPr>
          <w:rFonts w:ascii="Times New Roman" w:eastAsia="Times New Roman" w:hAnsi="Times New Roman" w:cs="Times New Roman"/>
          <w:sz w:val="24"/>
          <w:szCs w:val="24"/>
        </w:rPr>
        <w:t>de até 10% (dez por cento), caso se trate de uma concorrência, ou de até 5% (cinco por cento), caso se trate de um pregão,</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serão consideradas empatadas com a </w:t>
      </w:r>
      <w:r>
        <w:rPr>
          <w:rFonts w:ascii="Times New Roman" w:eastAsia="Times New Roman" w:hAnsi="Times New Roman" w:cs="Times New Roman"/>
          <w:sz w:val="24"/>
          <w:szCs w:val="24"/>
        </w:rPr>
        <w:t>primeira colocada.</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 licitante mais bem classificado nos termos do subitem anterior terá o direito de encaminhar uma última oferta para desempate, obrigatoriamente em valor inferior ao da primeira colocada, no prazo de 05 (cinco) minutos controlados pelo s</w:t>
      </w:r>
      <w:r>
        <w:rPr>
          <w:rFonts w:ascii="Times New Roman" w:eastAsia="Times New Roman" w:hAnsi="Times New Roman" w:cs="Times New Roman"/>
          <w:color w:val="000000"/>
          <w:sz w:val="24"/>
          <w:szCs w:val="24"/>
        </w:rPr>
        <w:t>istema, contados após a comunicação automática para tanto.</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Caso a microempresa ou a empresa de pequeno porte melhor classificada desista ou não se manifeste no prazo estabelecido, serão convocadas as demais licitantes microempresa e empresa de pequeno port</w:t>
      </w:r>
      <w:r>
        <w:rPr>
          <w:rFonts w:ascii="Times New Roman" w:eastAsia="Times New Roman" w:hAnsi="Times New Roman" w:cs="Times New Roman"/>
          <w:color w:val="000000"/>
          <w:sz w:val="24"/>
          <w:szCs w:val="24"/>
        </w:rPr>
        <w:t>e que se encontrem naquele intervalo de até 10% (dez por cento), caso se trate de uma concorrência, ou de até 5% (cinco por cento), caso se trate de um pregão, na ordem de classificação, para o exercício do mesmo direito, no prazo estabelecido no subitem a</w:t>
      </w:r>
      <w:r>
        <w:rPr>
          <w:rFonts w:ascii="Times New Roman" w:eastAsia="Times New Roman" w:hAnsi="Times New Roman" w:cs="Times New Roman"/>
          <w:color w:val="000000"/>
          <w:sz w:val="24"/>
          <w:szCs w:val="24"/>
        </w:rPr>
        <w:t>nterior.</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No caso de equivalência dos valores apresentados pelas microempresas e empresas de pequeno porte que se encontrem nos intervalos estabelecidos nos subitens anteriores, será realizado sorteio entre elas para que se identifique aquela que primeiro p</w:t>
      </w:r>
      <w:r>
        <w:rPr>
          <w:rFonts w:ascii="Times New Roman" w:eastAsia="Times New Roman" w:hAnsi="Times New Roman" w:cs="Times New Roman"/>
          <w:color w:val="000000"/>
          <w:sz w:val="24"/>
          <w:szCs w:val="24"/>
        </w:rPr>
        <w:t>oderá apresentar melhor oferta.</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obtenção do benefício a que se refere o item anterior fica limitada às microempresas e às empresas de pequeno porte que, no ano-calendário de realização da licitação, ainda não tenham celebrado contratos com a Administraçã</w:t>
      </w:r>
      <w:r>
        <w:rPr>
          <w:rFonts w:ascii="Times New Roman" w:eastAsia="Times New Roman" w:hAnsi="Times New Roman" w:cs="Times New Roman"/>
          <w:color w:val="000000"/>
          <w:sz w:val="24"/>
          <w:szCs w:val="24"/>
        </w:rPr>
        <w:t>o Pública cujos valores somados extrapolem a receita bruta máxima admitida para fins de enquadramento como empresa de pequeno porte.</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Só poderá haver empate entre propostas iguais (não seguidas de lances), ou entre lances finais da fase fechada do modo de d</w:t>
      </w:r>
      <w:r>
        <w:rPr>
          <w:rFonts w:ascii="Times New Roman" w:eastAsia="Times New Roman" w:hAnsi="Times New Roman" w:cs="Times New Roman"/>
          <w:color w:val="000000"/>
          <w:sz w:val="24"/>
          <w:szCs w:val="24"/>
        </w:rPr>
        <w:t>isputa aberto e fechado.</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Havendo eventual empate entre propostas ou lances, o critério de desempate será aquele previsto no </w:t>
      </w:r>
      <w:hyperlink r:id="rId28" w:anchor="art60">
        <w:r>
          <w:rPr>
            <w:rFonts w:ascii="Times New Roman" w:eastAsia="Times New Roman" w:hAnsi="Times New Roman" w:cs="Times New Roman"/>
            <w:color w:val="000000"/>
            <w:sz w:val="24"/>
            <w:szCs w:val="24"/>
          </w:rPr>
          <w:t>art. 60 da Lei nº 14.133, de 20</w:t>
        </w:r>
        <w:r>
          <w:rPr>
            <w:rFonts w:ascii="Times New Roman" w:eastAsia="Times New Roman" w:hAnsi="Times New Roman" w:cs="Times New Roman"/>
            <w:color w:val="000000"/>
            <w:sz w:val="24"/>
            <w:szCs w:val="24"/>
          </w:rPr>
          <w:t>21</w:t>
        </w:r>
      </w:hyperlink>
      <w:r>
        <w:rPr>
          <w:rFonts w:ascii="Times New Roman" w:eastAsia="Times New Roman" w:hAnsi="Times New Roman" w:cs="Times New Roman"/>
          <w:color w:val="000000"/>
          <w:sz w:val="24"/>
          <w:szCs w:val="24"/>
        </w:rPr>
        <w:t>, nesta ordem:</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disputa</w:t>
      </w:r>
      <w:proofErr w:type="gramEnd"/>
      <w:r>
        <w:rPr>
          <w:rFonts w:ascii="Times New Roman" w:eastAsia="Times New Roman" w:hAnsi="Times New Roman" w:cs="Times New Roman"/>
          <w:color w:val="000000"/>
          <w:sz w:val="24"/>
          <w:szCs w:val="24"/>
        </w:rPr>
        <w:t xml:space="preserve"> final, hipótese em que os licitantes empatados poderão apresentar nova proposta em ato contínuo à classificação;</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avaliação</w:t>
      </w:r>
      <w:proofErr w:type="gramEnd"/>
      <w:r>
        <w:rPr>
          <w:rFonts w:ascii="Times New Roman" w:eastAsia="Times New Roman" w:hAnsi="Times New Roman" w:cs="Times New Roman"/>
          <w:color w:val="000000"/>
          <w:sz w:val="24"/>
          <w:szCs w:val="24"/>
        </w:rPr>
        <w:t xml:space="preserve"> do desempenho contratual prévio dos licitantes, para a qual deverão preferencialmente ser utilizados registros cadastrais para efeito de atesto de cumprimento de obrigações previstos nesta Lei;</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desenvolvimento</w:t>
      </w:r>
      <w:proofErr w:type="gramEnd"/>
      <w:r>
        <w:rPr>
          <w:rFonts w:ascii="Times New Roman" w:eastAsia="Times New Roman" w:hAnsi="Times New Roman" w:cs="Times New Roman"/>
          <w:color w:val="000000"/>
          <w:sz w:val="24"/>
          <w:szCs w:val="24"/>
        </w:rPr>
        <w:t xml:space="preserve"> pelo licitante de ações de equidade </w:t>
      </w:r>
      <w:r>
        <w:rPr>
          <w:rFonts w:ascii="Times New Roman" w:eastAsia="Times New Roman" w:hAnsi="Times New Roman" w:cs="Times New Roman"/>
          <w:color w:val="000000"/>
          <w:sz w:val="24"/>
          <w:szCs w:val="24"/>
        </w:rPr>
        <w:t>entre homens e mulheres no ambiente de trabalho, conforme regulamento;</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desenvolvimento</w:t>
      </w:r>
      <w:proofErr w:type="gramEnd"/>
      <w:r>
        <w:rPr>
          <w:rFonts w:ascii="Times New Roman" w:eastAsia="Times New Roman" w:hAnsi="Times New Roman" w:cs="Times New Roman"/>
          <w:color w:val="000000"/>
          <w:sz w:val="24"/>
          <w:szCs w:val="24"/>
        </w:rPr>
        <w:t xml:space="preserve"> pelo licitante de programa de integridade, conforme orientações dos órgãos de controle.</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Persistindo o empate, será assegurada preferência, sucessivamente, aos bens e ser</w:t>
      </w:r>
      <w:r>
        <w:rPr>
          <w:rFonts w:ascii="Times New Roman" w:eastAsia="Times New Roman" w:hAnsi="Times New Roman" w:cs="Times New Roman"/>
          <w:color w:val="000000"/>
          <w:sz w:val="24"/>
          <w:szCs w:val="24"/>
        </w:rPr>
        <w:t>viços produzidos ou prestados por:</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empresas</w:t>
      </w:r>
      <w:proofErr w:type="gramEnd"/>
      <w:r>
        <w:rPr>
          <w:rFonts w:ascii="Times New Roman" w:eastAsia="Times New Roman" w:hAnsi="Times New Roman" w:cs="Times New Roman"/>
          <w:color w:val="000000"/>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w:t>
      </w:r>
      <w:r>
        <w:rPr>
          <w:rFonts w:ascii="Times New Roman" w:eastAsia="Times New Roman" w:hAnsi="Times New Roman" w:cs="Times New Roman"/>
          <w:color w:val="000000"/>
          <w:sz w:val="24"/>
          <w:szCs w:val="24"/>
        </w:rPr>
        <w:t>e localize;</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empresas</w:t>
      </w:r>
      <w:proofErr w:type="gramEnd"/>
      <w:r>
        <w:rPr>
          <w:rFonts w:ascii="Times New Roman" w:eastAsia="Times New Roman" w:hAnsi="Times New Roman" w:cs="Times New Roman"/>
          <w:color w:val="000000"/>
          <w:sz w:val="24"/>
          <w:szCs w:val="24"/>
        </w:rPr>
        <w:t xml:space="preserve"> brasileiras;</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empresas</w:t>
      </w:r>
      <w:proofErr w:type="gramEnd"/>
      <w:r>
        <w:rPr>
          <w:rFonts w:ascii="Times New Roman" w:eastAsia="Times New Roman" w:hAnsi="Times New Roman" w:cs="Times New Roman"/>
          <w:color w:val="000000"/>
          <w:sz w:val="24"/>
          <w:szCs w:val="24"/>
        </w:rPr>
        <w:t xml:space="preserve"> que invistam em pesquisa e no desenvolvimento de tecnologia no País;</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empresas que comprovem a prática de mitigação, nos termos da </w:t>
      </w:r>
      <w:hyperlink r:id="rId29" w:anchor=":~:text=LEI%20N%C2%BA%2012.187%2C%20DE%2029%20DE%20DEZEMBRO%20DE%202009.&amp;text=Institui%20a%20Pol%C3%ADtica%20Nacional%20sobre,PNMC%20e%20d%C3%A1%20outras%20provid%C3%AAncias.">
        <w:r>
          <w:rPr>
            <w:rFonts w:ascii="Times New Roman" w:eastAsia="Times New Roman" w:hAnsi="Times New Roman" w:cs="Times New Roman"/>
            <w:color w:val="000000"/>
            <w:sz w:val="24"/>
            <w:szCs w:val="24"/>
          </w:rPr>
          <w:t>Lei nº 12.187, de 29 de dezembro de 2009</w:t>
        </w:r>
      </w:hyperlink>
      <w:r>
        <w:rPr>
          <w:rFonts w:ascii="Times New Roman" w:eastAsia="Times New Roman" w:hAnsi="Times New Roman" w:cs="Times New Roman"/>
          <w:color w:val="000000"/>
          <w:sz w:val="24"/>
          <w:szCs w:val="24"/>
        </w:rPr>
        <w:t>.</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Esgotados todos os demais </w:t>
      </w:r>
      <w:r>
        <w:rPr>
          <w:rFonts w:ascii="Times New Roman" w:eastAsia="Times New Roman" w:hAnsi="Times New Roman" w:cs="Times New Roman"/>
          <w:color w:val="000000"/>
          <w:sz w:val="24"/>
          <w:szCs w:val="24"/>
        </w:rPr>
        <w:t>critérios de desempate previstos em lei, a escolha do licitante vencedor ocorrerá por sorteio, em ato público, para o qual todos os licitantes serão convocados, vedado qualquer outro processo.</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Encerrada a etapa de envio de lances da sessão pública, na hipó</w:t>
      </w:r>
      <w:r>
        <w:rPr>
          <w:rFonts w:ascii="Times New Roman" w:eastAsia="Times New Roman" w:hAnsi="Times New Roman" w:cs="Times New Roman"/>
          <w:color w:val="000000"/>
          <w:sz w:val="24"/>
          <w:szCs w:val="24"/>
        </w:rPr>
        <w:t xml:space="preserve">tese </w:t>
      </w:r>
      <w:proofErr w:type="gramStart"/>
      <w:r>
        <w:rPr>
          <w:rFonts w:ascii="Times New Roman" w:eastAsia="Times New Roman" w:hAnsi="Times New Roman" w:cs="Times New Roman"/>
          <w:color w:val="000000"/>
          <w:sz w:val="24"/>
          <w:szCs w:val="24"/>
        </w:rPr>
        <w:t>da</w:t>
      </w:r>
      <w:proofErr w:type="gramEnd"/>
      <w:r>
        <w:rPr>
          <w:rFonts w:ascii="Times New Roman" w:eastAsia="Times New Roman" w:hAnsi="Times New Roman" w:cs="Times New Roman"/>
          <w:color w:val="000000"/>
          <w:sz w:val="24"/>
          <w:szCs w:val="24"/>
        </w:rPr>
        <w:t xml:space="preserve"> proposta do primeiro colocado permanecer acima do preço máximo ou inferior ao desconto definido para a contratação, o pregoeiro poderá negociar condições mais vantajosas, após definido o resultado do julgamento.</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sz w:val="24"/>
          <w:szCs w:val="24"/>
        </w:rPr>
        <w:t>Tratando-se de licitação em grupo, a</w:t>
      </w:r>
      <w:r>
        <w:rPr>
          <w:rFonts w:ascii="Times New Roman" w:eastAsia="Times New Roman" w:hAnsi="Times New Roman" w:cs="Times New Roman"/>
          <w:strike/>
          <w:sz w:val="24"/>
          <w:szCs w:val="24"/>
        </w:rPr>
        <w:t xml:space="preserve"> contratação posterior de item específico do grupo exigirá prévia pesquisa de mercado e demonstração de sua vantagem para o órgão ou a entidade e serão observados como critério de aceitabilidade os preços unitários máximos definidos no Termo de Referência.</w:t>
      </w:r>
      <w:r>
        <w:rPr>
          <w:rFonts w:ascii="Times New Roman" w:eastAsia="Times New Roman" w:hAnsi="Times New Roman" w:cs="Times New Roman"/>
          <w:strike/>
          <w:color w:val="000000"/>
          <w:sz w:val="24"/>
          <w:szCs w:val="24"/>
          <w:vertAlign w:val="superscript"/>
        </w:rPr>
        <w:footnoteReference w:id="58"/>
      </w:r>
      <w:r>
        <w:rPr>
          <w:rFonts w:ascii="Times New Roman" w:eastAsia="Times New Roman" w:hAnsi="Times New Roman" w:cs="Times New Roman"/>
          <w:strike/>
          <w:color w:val="000000"/>
          <w:sz w:val="24"/>
          <w:szCs w:val="24"/>
        </w:rPr>
        <w:t>.</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w:t>
      </w:r>
      <w:r>
        <w:rPr>
          <w:rFonts w:ascii="Times New Roman" w:eastAsia="Times New Roman" w:hAnsi="Times New Roman" w:cs="Times New Roman"/>
          <w:color w:val="000000"/>
          <w:sz w:val="24"/>
          <w:szCs w:val="24"/>
        </w:rPr>
        <w:t>do pela Administração.</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negociação será realizada por meio do sistema, podendo ser acompanhada pelos demais licitantes.</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 resultado da negociação será divulgado a todos os licitantes e anexado aos autos do processo licitatório.</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B050"/>
          <w:sz w:val="24"/>
          <w:szCs w:val="24"/>
        </w:rPr>
      </w:pPr>
      <w:r>
        <w:rPr>
          <w:rFonts w:ascii="Times New Roman" w:eastAsia="Times New Roman" w:hAnsi="Times New Roman" w:cs="Times New Roman"/>
          <w:b/>
          <w:color w:val="00B050"/>
          <w:sz w:val="24"/>
          <w:szCs w:val="24"/>
        </w:rPr>
        <w:t>O pregoeiro solicitará ao l</w:t>
      </w:r>
      <w:r>
        <w:rPr>
          <w:rFonts w:ascii="Times New Roman" w:eastAsia="Times New Roman" w:hAnsi="Times New Roman" w:cs="Times New Roman"/>
          <w:b/>
          <w:color w:val="00B050"/>
          <w:sz w:val="24"/>
          <w:szCs w:val="24"/>
        </w:rPr>
        <w:t>icitante mais bem classificado que, no prazo de 24 (vinte e quatro) horas, envie a proposta adequada ao último lance ofertado após a negociação realizada, acompanhada, se for o caso, dos documentos complementares, em formato de fácil compatibilidade e visu</w:t>
      </w:r>
      <w:r>
        <w:rPr>
          <w:rFonts w:ascii="Times New Roman" w:eastAsia="Times New Roman" w:hAnsi="Times New Roman" w:cs="Times New Roman"/>
          <w:b/>
          <w:color w:val="00B050"/>
          <w:sz w:val="24"/>
          <w:szCs w:val="24"/>
        </w:rPr>
        <w:t>alização, quando necessários à confirmação daqueles exigidos neste Edital e já apresentados.</w:t>
      </w:r>
      <w:r>
        <w:rPr>
          <w:rFonts w:ascii="Times New Roman" w:eastAsia="Times New Roman" w:hAnsi="Times New Roman" w:cs="Times New Roman"/>
          <w:b/>
          <w:color w:val="00B050"/>
          <w:sz w:val="24"/>
          <w:szCs w:val="24"/>
          <w:vertAlign w:val="superscript"/>
        </w:rPr>
        <w:footnoteReference w:id="59"/>
      </w:r>
      <w:r>
        <w:rPr>
          <w:rFonts w:ascii="Times New Roman" w:eastAsia="Times New Roman" w:hAnsi="Times New Roman" w:cs="Times New Roman"/>
          <w:b/>
          <w:color w:val="00B050"/>
          <w:sz w:val="24"/>
          <w:szCs w:val="24"/>
          <w:vertAlign w:val="superscript"/>
        </w:rPr>
        <w:t xml:space="preserve"> </w:t>
      </w:r>
      <w:r>
        <w:rPr>
          <w:rFonts w:ascii="Times New Roman" w:eastAsia="Times New Roman" w:hAnsi="Times New Roman" w:cs="Times New Roman"/>
          <w:b/>
          <w:color w:val="00B050"/>
          <w:sz w:val="24"/>
          <w:szCs w:val="24"/>
          <w:vertAlign w:val="superscript"/>
        </w:rPr>
        <w:footnoteReference w:id="60"/>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É facultado ao </w:t>
      </w:r>
      <w:r>
        <w:rPr>
          <w:rFonts w:ascii="Times New Roman" w:eastAsia="Times New Roman" w:hAnsi="Times New Roman" w:cs="Times New Roman"/>
          <w:b/>
          <w:color w:val="000000"/>
          <w:sz w:val="24"/>
          <w:szCs w:val="24"/>
        </w:rPr>
        <w:t>Pregoeiro</w:t>
      </w:r>
      <w:r>
        <w:rPr>
          <w:rFonts w:ascii="Times New Roman" w:eastAsia="Times New Roman" w:hAnsi="Times New Roman" w:cs="Times New Roman"/>
          <w:color w:val="000000"/>
          <w:sz w:val="24"/>
          <w:szCs w:val="24"/>
        </w:rPr>
        <w:t xml:space="preserve"> prorrogar o prazo estabelecido, a partir de solicitação fundamentada feita no chat pelo licitante, antes de findo o prazo.</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Após a negociação do preço, o </w:t>
      </w:r>
      <w:r>
        <w:rPr>
          <w:rFonts w:ascii="Times New Roman" w:eastAsia="Times New Roman" w:hAnsi="Times New Roman" w:cs="Times New Roman"/>
          <w:b/>
          <w:color w:val="000000"/>
          <w:sz w:val="24"/>
          <w:szCs w:val="24"/>
        </w:rPr>
        <w:t>Pregoeiro</w:t>
      </w:r>
      <w:r>
        <w:rPr>
          <w:rFonts w:ascii="Times New Roman" w:eastAsia="Times New Roman" w:hAnsi="Times New Roman" w:cs="Times New Roman"/>
          <w:color w:val="000000"/>
          <w:sz w:val="24"/>
          <w:szCs w:val="24"/>
        </w:rPr>
        <w:t xml:space="preserve"> iniciará a fase de aceitação e julgamento da proposta.</w:t>
      </w: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color w:val="000000"/>
          <w:sz w:val="24"/>
          <w:szCs w:val="24"/>
        </w:rPr>
      </w:pPr>
    </w:p>
    <w:p w:rsidR="008C7EA8" w:rsidRDefault="007C04D2">
      <w:pPr>
        <w:numPr>
          <w:ilvl w:val="0"/>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0000"/>
          <w:sz w:val="24"/>
          <w:szCs w:val="24"/>
        </w:rPr>
      </w:pPr>
      <w:bookmarkStart w:id="24" w:name="_heading=h.vxd48q280q8r" w:colFirst="0" w:colLast="0"/>
      <w:bookmarkEnd w:id="24"/>
      <w:r>
        <w:rPr>
          <w:rFonts w:ascii="Times New Roman" w:eastAsia="Times New Roman" w:hAnsi="Times New Roman" w:cs="Times New Roman"/>
          <w:b/>
          <w:color w:val="000000"/>
          <w:sz w:val="24"/>
          <w:szCs w:val="24"/>
        </w:rPr>
        <w:t>DA FASE DE JULGAMENTO</w:t>
      </w:r>
    </w:p>
    <w:p w:rsidR="008C7EA8" w:rsidRDefault="008C7EA8">
      <w:pPr>
        <w:tabs>
          <w:tab w:val="left" w:pos="1418"/>
        </w:tabs>
        <w:spacing w:line="360" w:lineRule="auto"/>
        <w:jc w:val="both"/>
        <w:rPr>
          <w:rFonts w:ascii="Times New Roman" w:eastAsia="Times New Roman" w:hAnsi="Times New Roman" w:cs="Times New Roman"/>
          <w:sz w:val="24"/>
          <w:szCs w:val="24"/>
        </w:rPr>
      </w:pP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B050"/>
          <w:sz w:val="24"/>
          <w:szCs w:val="24"/>
        </w:rPr>
      </w:pPr>
      <w:bookmarkStart w:id="25" w:name="_heading=h.44sinio" w:colFirst="0" w:colLast="0"/>
      <w:bookmarkEnd w:id="25"/>
      <w:r>
        <w:rPr>
          <w:rFonts w:ascii="Times New Roman" w:eastAsia="Times New Roman" w:hAnsi="Times New Roman" w:cs="Times New Roman"/>
          <w:b/>
          <w:color w:val="00B050"/>
          <w:sz w:val="24"/>
          <w:szCs w:val="24"/>
        </w:rPr>
        <w:t xml:space="preserve">Encerrada a etapa de negociação, o </w:t>
      </w:r>
      <w:r>
        <w:rPr>
          <w:rFonts w:ascii="Times New Roman" w:eastAsia="Times New Roman" w:hAnsi="Times New Roman" w:cs="Times New Roman"/>
          <w:b/>
          <w:color w:val="00B050"/>
          <w:sz w:val="24"/>
          <w:szCs w:val="24"/>
          <w:u w:val="single"/>
        </w:rPr>
        <w:t>Pregoeiro</w:t>
      </w:r>
      <w:r>
        <w:rPr>
          <w:rFonts w:ascii="Times New Roman" w:eastAsia="Times New Roman" w:hAnsi="Times New Roman" w:cs="Times New Roman"/>
          <w:b/>
          <w:color w:val="00B050"/>
          <w:sz w:val="24"/>
          <w:szCs w:val="24"/>
        </w:rPr>
        <w:t xml:space="preserve"> verificará se o licitante provisoriamente classificado em primeiro lugar atende às condições de participação no certame, conforme previsto no </w:t>
      </w:r>
      <w:hyperlink r:id="rId30" w:anchor="art14">
        <w:r>
          <w:rPr>
            <w:rFonts w:ascii="Times New Roman" w:eastAsia="Times New Roman" w:hAnsi="Times New Roman" w:cs="Times New Roman"/>
            <w:b/>
            <w:color w:val="00B050"/>
            <w:sz w:val="24"/>
            <w:szCs w:val="24"/>
          </w:rPr>
          <w:t>art. 14 da Lei nº 14.133/2021</w:t>
        </w:r>
      </w:hyperlink>
      <w:r>
        <w:rPr>
          <w:rFonts w:ascii="Times New Roman" w:eastAsia="Times New Roman" w:hAnsi="Times New Roman" w:cs="Times New Roman"/>
          <w:b/>
          <w:color w:val="00B050"/>
          <w:sz w:val="24"/>
          <w:szCs w:val="24"/>
        </w:rPr>
        <w:t>, legislação correlata e no item 3.10 deste Edital, especialmente quanto à existência de sanção que impeça a participação no certame ou a futura contratação, mediante a consulta aos seguintes cadastros, sem prejuízo à pesquisa,</w:t>
      </w:r>
      <w:r>
        <w:rPr>
          <w:rFonts w:ascii="Times New Roman" w:eastAsia="Times New Roman" w:hAnsi="Times New Roman" w:cs="Times New Roman"/>
          <w:b/>
          <w:color w:val="00B050"/>
          <w:sz w:val="24"/>
          <w:szCs w:val="24"/>
        </w:rPr>
        <w:t xml:space="preserve"> em caso de dúvidas, aos cadastros mantidos pelo Tribunal de Contas da União (TCU):</w:t>
      </w:r>
      <w:r>
        <w:rPr>
          <w:rFonts w:ascii="Times New Roman" w:eastAsia="Times New Roman" w:hAnsi="Times New Roman" w:cs="Times New Roman"/>
          <w:b/>
          <w:color w:val="00B050"/>
          <w:sz w:val="24"/>
          <w:szCs w:val="24"/>
          <w:vertAlign w:val="superscript"/>
        </w:rPr>
        <w:footnoteReference w:id="61"/>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SICAF;</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i/>
          <w:sz w:val="24"/>
          <w:szCs w:val="24"/>
        </w:rPr>
      </w:pPr>
      <w:r>
        <w:rPr>
          <w:rFonts w:ascii="Times New Roman" w:eastAsia="Times New Roman" w:hAnsi="Times New Roman" w:cs="Times New Roman"/>
          <w:color w:val="000000"/>
          <w:sz w:val="24"/>
          <w:szCs w:val="24"/>
        </w:rPr>
        <w:t xml:space="preserve">Cadastro Nacional de Empresas Punidas – CNEP, mantido pela Controladoria-Geral da </w:t>
      </w:r>
      <w:r>
        <w:rPr>
          <w:rFonts w:ascii="Times New Roman" w:eastAsia="Times New Roman" w:hAnsi="Times New Roman" w:cs="Times New Roman"/>
          <w:sz w:val="24"/>
          <w:szCs w:val="24"/>
        </w:rPr>
        <w:t>União (</w:t>
      </w:r>
      <w:r>
        <w:rPr>
          <w:rFonts w:ascii="Times New Roman" w:eastAsia="Times New Roman" w:hAnsi="Times New Roman" w:cs="Times New Roman"/>
          <w:i/>
          <w:sz w:val="24"/>
          <w:szCs w:val="24"/>
          <w:u w:val="single"/>
        </w:rPr>
        <w:t>https://portaldatransparencia.gov.br/pagina-interna/603244-cnep</w:t>
      </w:r>
      <w:r>
        <w:rPr>
          <w:rFonts w:ascii="Times New Roman" w:eastAsia="Times New Roman" w:hAnsi="Times New Roman" w:cs="Times New Roman"/>
          <w:sz w:val="24"/>
          <w:szCs w:val="24"/>
        </w:rPr>
        <w:t>).</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consulta aos cadastros será realizada no nome e no CNPJ da empresa licitante.</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consulta no CNEP quanto às sanções previstas na Lei nº 8.429, de1992, também ocorrerá no nome e no CPF do sócio majoritário da empresa licitante, se houver, por força do art.</w:t>
      </w:r>
      <w:r>
        <w:rPr>
          <w:rFonts w:ascii="Times New Roman" w:eastAsia="Times New Roman" w:hAnsi="Times New Roman" w:cs="Times New Roman"/>
          <w:color w:val="000000"/>
          <w:sz w:val="24"/>
          <w:szCs w:val="24"/>
        </w:rPr>
        <w:t xml:space="preserve"> 12 da citada lei.</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Caso conste na Consulta de Situação do licitante a existência de Ocorrências Impeditivas Indiretas, o </w:t>
      </w:r>
      <w:r>
        <w:rPr>
          <w:rFonts w:ascii="Times New Roman" w:eastAsia="Times New Roman" w:hAnsi="Times New Roman" w:cs="Times New Roman"/>
          <w:b/>
          <w:color w:val="000000"/>
          <w:sz w:val="24"/>
          <w:szCs w:val="24"/>
        </w:rPr>
        <w:t>Pregoeiro</w:t>
      </w:r>
      <w:r>
        <w:rPr>
          <w:rFonts w:ascii="Times New Roman" w:eastAsia="Times New Roman" w:hAnsi="Times New Roman" w:cs="Times New Roman"/>
          <w:color w:val="000000"/>
          <w:sz w:val="24"/>
          <w:szCs w:val="24"/>
        </w:rPr>
        <w:t xml:space="preserve"> diligenciará para verificar se houve fraude por parte das empresas apontadas no Relatório de Ocorrências Impeditivas Indireta</w:t>
      </w:r>
      <w:r>
        <w:rPr>
          <w:rFonts w:ascii="Times New Roman" w:eastAsia="Times New Roman" w:hAnsi="Times New Roman" w:cs="Times New Roman"/>
          <w:color w:val="000000"/>
          <w:sz w:val="24"/>
          <w:szCs w:val="24"/>
        </w:rPr>
        <w:t>s.</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tentativa de burla será verificada por meio dos vínculos societários, linhas de fornecimento similares, dentre outros.</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O licitante será convocado para manifestação previamente a uma eventual desclassificação.</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Constatada a existência de sanção, o licit</w:t>
      </w:r>
      <w:r>
        <w:rPr>
          <w:rFonts w:ascii="Times New Roman" w:eastAsia="Times New Roman" w:hAnsi="Times New Roman" w:cs="Times New Roman"/>
          <w:color w:val="000000"/>
          <w:sz w:val="24"/>
          <w:szCs w:val="24"/>
        </w:rPr>
        <w:t>ante será reputado inabilitado, por falta de condição de participação.</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Na hipótese de inversão das fases de habilitação e julgamento, caso atendidas as condições de participação, será iniciado o procedimento de habilitação.</w:t>
      </w:r>
      <w:r>
        <w:rPr>
          <w:rFonts w:ascii="Times New Roman" w:eastAsia="Times New Roman" w:hAnsi="Times New Roman" w:cs="Times New Roman"/>
          <w:strike/>
          <w:color w:val="000000"/>
          <w:sz w:val="24"/>
          <w:szCs w:val="24"/>
          <w:vertAlign w:val="superscript"/>
        </w:rPr>
        <w:footnoteReference w:id="62"/>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Caso o licitante provisoriamente classificado em primeiro lugar tenha se utilizado de algum tratamento favorecido às ME/EPP’s ou tenha se valido da aplicação da margem de preferência, o </w:t>
      </w:r>
      <w:r>
        <w:rPr>
          <w:rFonts w:ascii="Times New Roman" w:eastAsia="Times New Roman" w:hAnsi="Times New Roman" w:cs="Times New Roman"/>
          <w:b/>
          <w:sz w:val="24"/>
          <w:szCs w:val="24"/>
        </w:rPr>
        <w:t>Pregoeiro</w:t>
      </w:r>
      <w:r>
        <w:rPr>
          <w:rFonts w:ascii="Times New Roman" w:eastAsia="Times New Roman" w:hAnsi="Times New Roman" w:cs="Times New Roman"/>
          <w:sz w:val="24"/>
          <w:szCs w:val="24"/>
        </w:rPr>
        <w:t xml:space="preserve"> verificará se o licitante faz jus ao benefício aplicado.</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8.5.1</w:t>
      </w:r>
      <w:r>
        <w:rPr>
          <w:rFonts w:ascii="Times New Roman" w:eastAsia="Times New Roman" w:hAnsi="Times New Roman" w:cs="Times New Roman"/>
          <w:sz w:val="24"/>
          <w:szCs w:val="24"/>
        </w:rPr>
        <w:tab/>
        <w:t>Caso o licitante não venha a comprovar o atendimento dos requisitos para fazer jus ao benefício da margem de preferência, as propostas serão reclassificadas, para fins de nova aplicação da margem de preferência.</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Verificadas as condições de participaç</w:t>
      </w:r>
      <w:r>
        <w:rPr>
          <w:rFonts w:ascii="Times New Roman" w:eastAsia="Times New Roman" w:hAnsi="Times New Roman" w:cs="Times New Roman"/>
          <w:color w:val="000000"/>
          <w:sz w:val="24"/>
          <w:szCs w:val="24"/>
        </w:rPr>
        <w:t xml:space="preserve">ão e de utilização do tratamento favorecido, o </w:t>
      </w:r>
      <w:r>
        <w:rPr>
          <w:rFonts w:ascii="Times New Roman" w:eastAsia="Times New Roman" w:hAnsi="Times New Roman" w:cs="Times New Roman"/>
          <w:b/>
          <w:color w:val="000000"/>
          <w:sz w:val="24"/>
          <w:szCs w:val="24"/>
        </w:rPr>
        <w:t>Pregoeiro</w:t>
      </w:r>
      <w:r>
        <w:rPr>
          <w:rFonts w:ascii="Times New Roman" w:eastAsia="Times New Roman" w:hAnsi="Times New Roman" w:cs="Times New Roman"/>
          <w:color w:val="000000"/>
          <w:sz w:val="24"/>
          <w:szCs w:val="24"/>
        </w:rPr>
        <w:t xml:space="preserve"> examinará a proposta classificada em primeiro lugar quanto à adequação ao objeto e à compatibilidade do preço em relação ao máximo estipulado para contratação neste Edital e em seus anexos, observado</w:t>
      </w:r>
      <w:r>
        <w:rPr>
          <w:rFonts w:ascii="Times New Roman" w:eastAsia="Times New Roman" w:hAnsi="Times New Roman" w:cs="Times New Roman"/>
          <w:color w:val="000000"/>
          <w:sz w:val="24"/>
          <w:szCs w:val="24"/>
        </w:rPr>
        <w:t xml:space="preserve"> o disposto no </w:t>
      </w:r>
      <w:hyperlink r:id="rId31" w:anchor="art29">
        <w:r>
          <w:rPr>
            <w:rFonts w:ascii="Times New Roman" w:eastAsia="Times New Roman" w:hAnsi="Times New Roman" w:cs="Times New Roman"/>
            <w:color w:val="000000"/>
            <w:sz w:val="24"/>
            <w:szCs w:val="24"/>
          </w:rPr>
          <w:t>artigo 29 a 35 da IN SEGES nº 73, de 30 de setembro de 2022</w:t>
        </w:r>
      </w:hyperlink>
      <w:r>
        <w:rPr>
          <w:rFonts w:ascii="Times New Roman" w:eastAsia="Times New Roman" w:hAnsi="Times New Roman" w:cs="Times New Roman"/>
          <w:color w:val="000000"/>
          <w:sz w:val="24"/>
          <w:szCs w:val="24"/>
        </w:rPr>
        <w:t>.</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sz w:val="24"/>
          <w:szCs w:val="24"/>
        </w:rPr>
        <w:t xml:space="preserve">Em </w:t>
      </w:r>
      <w:r>
        <w:rPr>
          <w:rFonts w:ascii="Times New Roman" w:eastAsia="Times New Roman" w:hAnsi="Times New Roman" w:cs="Times New Roman"/>
          <w:strike/>
          <w:sz w:val="24"/>
          <w:szCs w:val="24"/>
        </w:rPr>
        <w:t xml:space="preserve">se tratando de serviços com fornecimento de mão de obra em regime de dedicação exclusiva, a fim de assegurar o tratamento isonômico entre as licitantes, informa-se que foram utilizados os seguintes acordos, dissídios ou convenções coletivas de trabalho no </w:t>
      </w:r>
      <w:r>
        <w:rPr>
          <w:rFonts w:ascii="Times New Roman" w:eastAsia="Times New Roman" w:hAnsi="Times New Roman" w:cs="Times New Roman"/>
          <w:strike/>
          <w:sz w:val="24"/>
          <w:szCs w:val="24"/>
        </w:rPr>
        <w:t>cálculo do valor estimado pela Administração:</w:t>
      </w:r>
      <w:r>
        <w:rPr>
          <w:rFonts w:ascii="Times New Roman" w:eastAsia="Times New Roman" w:hAnsi="Times New Roman" w:cs="Times New Roman"/>
          <w:strike/>
          <w:color w:val="000000"/>
          <w:sz w:val="24"/>
          <w:szCs w:val="24"/>
          <w:vertAlign w:val="superscript"/>
        </w:rPr>
        <w:footnoteReference w:id="63"/>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[indicar os acordos, dissídios ou convenções coletivas];</w:t>
      </w:r>
      <w:r>
        <w:rPr>
          <w:rFonts w:ascii="Times New Roman" w:eastAsia="Times New Roman" w:hAnsi="Times New Roman" w:cs="Times New Roman"/>
          <w:strike/>
          <w:color w:val="000000"/>
          <w:sz w:val="24"/>
          <w:szCs w:val="24"/>
          <w:vertAlign w:val="superscript"/>
        </w:rPr>
        <w:footnoteReference w:id="64"/>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sz w:val="24"/>
          <w:szCs w:val="24"/>
        </w:rPr>
      </w:pPr>
      <w:r>
        <w:rPr>
          <w:rFonts w:ascii="Times New Roman" w:eastAsia="Times New Roman" w:hAnsi="Times New Roman" w:cs="Times New Roman"/>
          <w:strike/>
          <w:sz w:val="24"/>
          <w:szCs w:val="24"/>
        </w:rPr>
        <w:t>Os acordos, dissídios ou convenções coletivas indicado(s)no subitem acima não é (são) de utilização obrigatória pelos licitantes, mas, ao longo da exec</w:t>
      </w:r>
      <w:r>
        <w:rPr>
          <w:rFonts w:ascii="Times New Roman" w:eastAsia="Times New Roman" w:hAnsi="Times New Roman" w:cs="Times New Roman"/>
          <w:strike/>
          <w:sz w:val="24"/>
          <w:szCs w:val="24"/>
        </w:rPr>
        <w:t xml:space="preserve">ução contratual, sempre se exigirá o cumprimento dos acordos, dissídios ou convenções coletivas adotados por </w:t>
      </w:r>
      <w:r>
        <w:rPr>
          <w:rFonts w:ascii="Times New Roman" w:eastAsia="Times New Roman" w:hAnsi="Times New Roman" w:cs="Times New Roman"/>
          <w:strike/>
          <w:sz w:val="24"/>
          <w:szCs w:val="24"/>
        </w:rPr>
        <w:lastRenderedPageBreak/>
        <w:t>cada licitante/Contratado, obedecidos os custos mínimos relevantes fixados pela Administração.</w:t>
      </w:r>
      <w:r>
        <w:rPr>
          <w:rFonts w:ascii="Times New Roman" w:eastAsia="Times New Roman" w:hAnsi="Times New Roman" w:cs="Times New Roman"/>
          <w:strike/>
          <w:sz w:val="24"/>
          <w:szCs w:val="24"/>
          <w:vertAlign w:val="superscript"/>
        </w:rPr>
        <w:footnoteReference w:id="65"/>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Será desclassificada a proposta vencedora que:</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contiver</w:t>
      </w:r>
      <w:proofErr w:type="gramEnd"/>
      <w:r>
        <w:rPr>
          <w:rFonts w:ascii="Times New Roman" w:eastAsia="Times New Roman" w:hAnsi="Times New Roman" w:cs="Times New Roman"/>
          <w:color w:val="000000"/>
          <w:sz w:val="24"/>
          <w:szCs w:val="24"/>
        </w:rPr>
        <w:t xml:space="preserve"> vícios insanáveis;</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não</w:t>
      </w:r>
      <w:proofErr w:type="gramEnd"/>
      <w:r>
        <w:rPr>
          <w:rFonts w:ascii="Times New Roman" w:eastAsia="Times New Roman" w:hAnsi="Times New Roman" w:cs="Times New Roman"/>
          <w:color w:val="000000"/>
          <w:sz w:val="24"/>
          <w:szCs w:val="24"/>
        </w:rPr>
        <w:t xml:space="preserve"> obedecer às especificações técnicas contidas no Termo de Referência;</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apresentar</w:t>
      </w:r>
      <w:proofErr w:type="gramEnd"/>
      <w:r>
        <w:rPr>
          <w:rFonts w:ascii="Times New Roman" w:eastAsia="Times New Roman" w:hAnsi="Times New Roman" w:cs="Times New Roman"/>
          <w:color w:val="000000"/>
          <w:sz w:val="24"/>
          <w:szCs w:val="24"/>
        </w:rPr>
        <w:t xml:space="preserve"> preços inexequíveis ou permanecerem acima do preço máximo definido para a contratação;</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não</w:t>
      </w:r>
      <w:proofErr w:type="gramEnd"/>
      <w:r>
        <w:rPr>
          <w:rFonts w:ascii="Times New Roman" w:eastAsia="Times New Roman" w:hAnsi="Times New Roman" w:cs="Times New Roman"/>
          <w:color w:val="000000"/>
          <w:sz w:val="24"/>
          <w:szCs w:val="24"/>
        </w:rPr>
        <w:t xml:space="preserve"> tiverem sua exequibilidade demonstrada, quando exigido pela Administração;</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apresentar</w:t>
      </w:r>
      <w:proofErr w:type="gramEnd"/>
      <w:r>
        <w:rPr>
          <w:rFonts w:ascii="Times New Roman" w:eastAsia="Times New Roman" w:hAnsi="Times New Roman" w:cs="Times New Roman"/>
          <w:color w:val="000000"/>
          <w:sz w:val="24"/>
          <w:szCs w:val="24"/>
        </w:rPr>
        <w:t xml:space="preserve"> desconformidade com quaisquer outras exigências deste Edital ou seus anexos, desde que insanável;</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identifique o licitante, não devendo ser incluído nos campos de cada</w:t>
      </w:r>
      <w:r>
        <w:rPr>
          <w:rFonts w:ascii="Times New Roman" w:eastAsia="Times New Roman" w:hAnsi="Times New Roman" w:cs="Times New Roman"/>
          <w:b/>
          <w:color w:val="FF0000"/>
          <w:sz w:val="24"/>
          <w:szCs w:val="24"/>
        </w:rPr>
        <w:t>stramento da proposta (sistema de compras do governo federal), sob qualquer hipótese, elementos que possam levar à identificação do fornecedor.</w:t>
      </w:r>
      <w:r>
        <w:rPr>
          <w:rFonts w:ascii="Times New Roman" w:eastAsia="Times New Roman" w:hAnsi="Times New Roman" w:cs="Times New Roman"/>
          <w:b/>
          <w:color w:val="FF0000"/>
          <w:sz w:val="24"/>
          <w:szCs w:val="24"/>
          <w:vertAlign w:val="superscript"/>
        </w:rPr>
        <w:footnoteReference w:id="66"/>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 caso de bens e serviços em geral, é indício de inexequibilidade das propostas valores inferiores a 50% (cinq</w:t>
      </w:r>
      <w:r>
        <w:rPr>
          <w:rFonts w:ascii="Times New Roman" w:eastAsia="Times New Roman" w:hAnsi="Times New Roman" w:cs="Times New Roman"/>
          <w:color w:val="000000"/>
          <w:sz w:val="24"/>
          <w:szCs w:val="24"/>
        </w:rPr>
        <w:t>uenta por cento) do valor orçado pela Administração.</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inexequibilidade, na hipótese de que trata o item anterior, só será considerada após diligência do </w:t>
      </w:r>
      <w:r>
        <w:rPr>
          <w:rFonts w:ascii="Times New Roman" w:eastAsia="Times New Roman" w:hAnsi="Times New Roman" w:cs="Times New Roman"/>
          <w:b/>
          <w:color w:val="000000"/>
          <w:sz w:val="24"/>
          <w:szCs w:val="24"/>
        </w:rPr>
        <w:t>Pregoeiro</w:t>
      </w:r>
      <w:r>
        <w:rPr>
          <w:rFonts w:ascii="Times New Roman" w:eastAsia="Times New Roman" w:hAnsi="Times New Roman" w:cs="Times New Roman"/>
          <w:color w:val="000000"/>
          <w:sz w:val="24"/>
          <w:szCs w:val="24"/>
        </w:rPr>
        <w:t>, que comprove:</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que</w:t>
      </w:r>
      <w:proofErr w:type="gramEnd"/>
      <w:r>
        <w:rPr>
          <w:rFonts w:ascii="Times New Roman" w:eastAsia="Times New Roman" w:hAnsi="Times New Roman" w:cs="Times New Roman"/>
          <w:color w:val="000000"/>
          <w:sz w:val="24"/>
          <w:szCs w:val="24"/>
        </w:rPr>
        <w:t xml:space="preserve"> o custo do licitante ultrapassa o valor da proposta; e</w:t>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inexistirem</w:t>
      </w:r>
      <w:proofErr w:type="gramEnd"/>
      <w:r>
        <w:rPr>
          <w:rFonts w:ascii="Times New Roman" w:eastAsia="Times New Roman" w:hAnsi="Times New Roman" w:cs="Times New Roman"/>
          <w:color w:val="000000"/>
          <w:sz w:val="24"/>
          <w:szCs w:val="24"/>
        </w:rPr>
        <w:t xml:space="preserve"> custos</w:t>
      </w:r>
      <w:r>
        <w:rPr>
          <w:rFonts w:ascii="Times New Roman" w:eastAsia="Times New Roman" w:hAnsi="Times New Roman" w:cs="Times New Roman"/>
          <w:color w:val="000000"/>
          <w:sz w:val="24"/>
          <w:szCs w:val="24"/>
        </w:rPr>
        <w:t xml:space="preserve"> de oportunidade capazes de justificar o vulto da oferta.</w:t>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strike/>
          <w:color w:val="000000"/>
          <w:sz w:val="24"/>
          <w:szCs w:val="24"/>
        </w:rPr>
      </w:pPr>
      <w:r>
        <w:rPr>
          <w:rFonts w:ascii="Times New Roman" w:eastAsia="Times New Roman" w:hAnsi="Times New Roman" w:cs="Times New Roman"/>
          <w:strike/>
          <w:sz w:val="24"/>
          <w:szCs w:val="24"/>
        </w:rPr>
        <w:t>Em contratação de serviços de engenharia, além das disposições acima, a análise de exequibilidade e sobrepreço considerará o seguinte:</w:t>
      </w:r>
      <w:r>
        <w:rPr>
          <w:rFonts w:ascii="Times New Roman" w:eastAsia="Times New Roman" w:hAnsi="Times New Roman" w:cs="Times New Roman"/>
          <w:strike/>
          <w:sz w:val="24"/>
          <w:szCs w:val="24"/>
          <w:vertAlign w:val="superscript"/>
        </w:rPr>
        <w:footnoteReference w:id="67"/>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sz w:val="24"/>
          <w:szCs w:val="24"/>
        </w:rPr>
      </w:pPr>
      <w:r>
        <w:rPr>
          <w:rFonts w:ascii="Times New Roman" w:eastAsia="Times New Roman" w:hAnsi="Times New Roman" w:cs="Times New Roman"/>
          <w:strike/>
          <w:sz w:val="24"/>
          <w:szCs w:val="24"/>
        </w:rPr>
        <w:t>Nos regimes de execução por tarefa, empreitada por preço global ou empreitada integral, semi-integrada ou integrada, a caracterização do sobrepreço se dará pela superação do valor global estimado;</w:t>
      </w:r>
      <w:r>
        <w:rPr>
          <w:rFonts w:ascii="Times New Roman" w:eastAsia="Times New Roman" w:hAnsi="Times New Roman" w:cs="Times New Roman"/>
          <w:strike/>
          <w:sz w:val="24"/>
          <w:szCs w:val="24"/>
          <w:vertAlign w:val="superscript"/>
        </w:rPr>
        <w:footnoteReference w:id="68"/>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sz w:val="24"/>
          <w:szCs w:val="24"/>
        </w:rPr>
      </w:pPr>
      <w:r>
        <w:rPr>
          <w:rFonts w:ascii="Times New Roman" w:eastAsia="Times New Roman" w:hAnsi="Times New Roman" w:cs="Times New Roman"/>
          <w:strike/>
          <w:sz w:val="24"/>
          <w:szCs w:val="24"/>
        </w:rPr>
        <w:lastRenderedPageBreak/>
        <w:t>No regime de empreitada por preço unitário, a caracterizaç</w:t>
      </w:r>
      <w:r>
        <w:rPr>
          <w:rFonts w:ascii="Times New Roman" w:eastAsia="Times New Roman" w:hAnsi="Times New Roman" w:cs="Times New Roman"/>
          <w:strike/>
          <w:sz w:val="24"/>
          <w:szCs w:val="24"/>
        </w:rPr>
        <w:t>ão do sobrepreço se dará pela superação do valor global estimado e pela superação de custo unitário tido como relevante, conforme planilha anexa ao Edital;</w:t>
      </w:r>
      <w:r>
        <w:rPr>
          <w:rFonts w:ascii="Times New Roman" w:eastAsia="Times New Roman" w:hAnsi="Times New Roman" w:cs="Times New Roman"/>
          <w:strike/>
          <w:sz w:val="24"/>
          <w:szCs w:val="24"/>
          <w:vertAlign w:val="superscript"/>
        </w:rPr>
        <w:footnoteReference w:id="69"/>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sz w:val="24"/>
          <w:szCs w:val="24"/>
        </w:rPr>
      </w:pPr>
      <w:r>
        <w:rPr>
          <w:rFonts w:ascii="Times New Roman" w:eastAsia="Times New Roman" w:hAnsi="Times New Roman" w:cs="Times New Roman"/>
          <w:strike/>
          <w:sz w:val="24"/>
          <w:szCs w:val="24"/>
        </w:rPr>
        <w:t>No caso de serviços de engenharia, serão consideradas inexequíveis as propostas cujos valores forem</w:t>
      </w:r>
      <w:r>
        <w:rPr>
          <w:rFonts w:ascii="Times New Roman" w:eastAsia="Times New Roman" w:hAnsi="Times New Roman" w:cs="Times New Roman"/>
          <w:strike/>
          <w:sz w:val="24"/>
          <w:szCs w:val="24"/>
        </w:rPr>
        <w:t xml:space="preserve"> inferiores a 75% (setenta e cinco por cento) do valor orçado pela Administração, independentemente do regime de execução.</w:t>
      </w:r>
      <w:r>
        <w:rPr>
          <w:rFonts w:ascii="Times New Roman" w:eastAsia="Times New Roman" w:hAnsi="Times New Roman" w:cs="Times New Roman"/>
          <w:strike/>
          <w:sz w:val="24"/>
          <w:szCs w:val="24"/>
          <w:vertAlign w:val="superscript"/>
        </w:rPr>
        <w:footnoteReference w:id="70"/>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bookmarkStart w:id="26" w:name="_heading=h.3o7alnk" w:colFirst="0" w:colLast="0"/>
      <w:bookmarkEnd w:id="26"/>
      <w:r>
        <w:rPr>
          <w:rFonts w:ascii="Times New Roman" w:eastAsia="Times New Roman" w:hAnsi="Times New Roman" w:cs="Times New Roman"/>
          <w:strike/>
          <w:color w:val="000000"/>
          <w:sz w:val="24"/>
          <w:szCs w:val="24"/>
        </w:rPr>
        <w:t>Se houver indícios de inexequibilidade da proposta de preço, ou em caso de necessidades de esclarecimentos complementares, poderão s</w:t>
      </w:r>
      <w:r>
        <w:rPr>
          <w:rFonts w:ascii="Times New Roman" w:eastAsia="Times New Roman" w:hAnsi="Times New Roman" w:cs="Times New Roman"/>
          <w:strike/>
          <w:color w:val="000000"/>
          <w:sz w:val="24"/>
          <w:szCs w:val="24"/>
        </w:rPr>
        <w:t>er efetuadas diligências, para que a empresa comprove a exequibilidade da proposta.</w:t>
      </w:r>
      <w:r>
        <w:rPr>
          <w:rFonts w:ascii="Times New Roman" w:eastAsia="Times New Roman" w:hAnsi="Times New Roman" w:cs="Times New Roman"/>
          <w:strike/>
          <w:color w:val="000000"/>
          <w:sz w:val="24"/>
          <w:szCs w:val="24"/>
          <w:vertAlign w:val="superscript"/>
        </w:rPr>
        <w:footnoteReference w:id="71"/>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w:t>
      </w:r>
      <w:r>
        <w:rPr>
          <w:rFonts w:ascii="Times New Roman" w:eastAsia="Times New Roman" w:hAnsi="Times New Roman" w:cs="Times New Roman"/>
          <w:strike/>
          <w:color w:val="000000"/>
          <w:sz w:val="24"/>
          <w:szCs w:val="24"/>
        </w:rPr>
        <w:t>sentar Planilha por ele elaborada, com os respectivos valores adequados ao valor final da sua proposta, sob pena de não aceitação da proposta.</w:t>
      </w:r>
      <w:r>
        <w:rPr>
          <w:rFonts w:ascii="Times New Roman" w:eastAsia="Times New Roman" w:hAnsi="Times New Roman" w:cs="Times New Roman"/>
          <w:strike/>
          <w:color w:val="000000"/>
          <w:sz w:val="24"/>
          <w:szCs w:val="24"/>
          <w:vertAlign w:val="superscript"/>
        </w:rPr>
        <w:footnoteReference w:id="72"/>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bookmarkStart w:id="27" w:name="_heading=h.23ckvvd" w:colFirst="0" w:colLast="0"/>
      <w:bookmarkEnd w:id="27"/>
      <w:r>
        <w:rPr>
          <w:rFonts w:ascii="Times New Roman" w:eastAsia="Times New Roman" w:hAnsi="Times New Roman" w:cs="Times New Roman"/>
          <w:strike/>
          <w:sz w:val="24"/>
          <w:szCs w:val="24"/>
        </w:rPr>
        <w:t xml:space="preserve">Em se tratando de serviços de engenharia, o licitante vencedor será convocado a apresentar à Administração, por </w:t>
      </w:r>
      <w:r>
        <w:rPr>
          <w:rFonts w:ascii="Times New Roman" w:eastAsia="Times New Roman" w:hAnsi="Times New Roman" w:cs="Times New Roman"/>
          <w:strike/>
          <w:sz w:val="24"/>
          <w:szCs w:val="24"/>
        </w:rPr>
        <w:t>meio eletrônico, as planilhas com indicação dos quantitativos e dos custos unitários, seguindo o modelo elaborado pela Administração, bem como com detalhamento das Bonificações e Despesas Indiretas (BDI) e dos Encargos Sociais (ES), com os respectivos valo</w:t>
      </w:r>
      <w:r>
        <w:rPr>
          <w:rFonts w:ascii="Times New Roman" w:eastAsia="Times New Roman" w:hAnsi="Times New Roman" w:cs="Times New Roman"/>
          <w:strike/>
          <w:sz w:val="24"/>
          <w:szCs w:val="24"/>
        </w:rPr>
        <w:t>res adequados ao valor final da proposta vencedora, admitida a utilização dos preços unitários, no caso de empreitada por preço global, empreitada integral, contratação semi-integrada e contratação integrada, exclusivamente para eventuais adequações indisp</w:t>
      </w:r>
      <w:r>
        <w:rPr>
          <w:rFonts w:ascii="Times New Roman" w:eastAsia="Times New Roman" w:hAnsi="Times New Roman" w:cs="Times New Roman"/>
          <w:strike/>
          <w:sz w:val="24"/>
          <w:szCs w:val="24"/>
        </w:rPr>
        <w:t>ensáveis no cronograma físico-financeiro e para balizar excepcional aditamento posterior do Contrato.</w:t>
      </w:r>
      <w:r>
        <w:rPr>
          <w:rFonts w:ascii="Times New Roman" w:eastAsia="Times New Roman" w:hAnsi="Times New Roman" w:cs="Times New Roman"/>
          <w:strike/>
          <w:sz w:val="24"/>
          <w:szCs w:val="24"/>
          <w:vertAlign w:val="superscript"/>
        </w:rPr>
        <w:footnoteReference w:id="73"/>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sz w:val="24"/>
          <w:szCs w:val="24"/>
        </w:rPr>
        <w:t>Em se tratando de serviços com fornecimento de mão de obra em regime de dedicação exclusiva cuja produtividade seja mensurável e indicada pela Administra</w:t>
      </w:r>
      <w:r>
        <w:rPr>
          <w:rFonts w:ascii="Times New Roman" w:eastAsia="Times New Roman" w:hAnsi="Times New Roman" w:cs="Times New Roman"/>
          <w:strike/>
          <w:sz w:val="24"/>
          <w:szCs w:val="24"/>
        </w:rPr>
        <w:t xml:space="preserve">ção, o </w:t>
      </w:r>
      <w:r>
        <w:rPr>
          <w:rFonts w:ascii="Times New Roman" w:eastAsia="Times New Roman" w:hAnsi="Times New Roman" w:cs="Times New Roman"/>
          <w:strike/>
          <w:sz w:val="24"/>
          <w:szCs w:val="24"/>
        </w:rPr>
        <w:lastRenderedPageBreak/>
        <w:t>licitante deverá indicar a produtividade adotada e a quantidade de pessoal que será alocado na execução contratual.</w:t>
      </w:r>
      <w:r>
        <w:rPr>
          <w:rFonts w:ascii="Times New Roman" w:eastAsia="Times New Roman" w:hAnsi="Times New Roman" w:cs="Times New Roman"/>
          <w:strike/>
          <w:color w:val="000000"/>
          <w:sz w:val="24"/>
          <w:szCs w:val="24"/>
          <w:vertAlign w:val="superscript"/>
        </w:rPr>
        <w:footnoteReference w:id="74"/>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sz w:val="24"/>
          <w:szCs w:val="24"/>
        </w:rPr>
        <w:t>Caso a produtividade for diferente daquela utilizada pela Administração como referência, ou não estiver contida na faixa referencial</w:t>
      </w:r>
      <w:r>
        <w:rPr>
          <w:rFonts w:ascii="Times New Roman" w:eastAsia="Times New Roman" w:hAnsi="Times New Roman" w:cs="Times New Roman"/>
          <w:strike/>
          <w:sz w:val="24"/>
          <w:szCs w:val="24"/>
        </w:rPr>
        <w:t xml:space="preserve"> de produtividade, mas admitida pelo ato convocatório, o licitante deverá apresentar a respectiva comprovação de exequibilidade;</w:t>
      </w:r>
      <w:r>
        <w:rPr>
          <w:rFonts w:ascii="Times New Roman" w:eastAsia="Times New Roman" w:hAnsi="Times New Roman" w:cs="Times New Roman"/>
          <w:strike/>
          <w:color w:val="000000"/>
          <w:sz w:val="24"/>
          <w:szCs w:val="24"/>
          <w:vertAlign w:val="superscript"/>
        </w:rPr>
        <w:footnoteReference w:id="75"/>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sz w:val="24"/>
          <w:szCs w:val="24"/>
        </w:rPr>
        <w:t>Os licitantes poderão apresentar produtividades diferenciadas daquela estabelecida pela Administração como referência, desde q</w:t>
      </w:r>
      <w:r>
        <w:rPr>
          <w:rFonts w:ascii="Times New Roman" w:eastAsia="Times New Roman" w:hAnsi="Times New Roman" w:cs="Times New Roman"/>
          <w:strike/>
          <w:sz w:val="24"/>
          <w:szCs w:val="24"/>
        </w:rPr>
        <w:t>ue não alterem o objeto da contratação, não contrariem dispositivos legais vigentes e, caso não estejam contidas nas faixas referenciais de produtividade, comprovem a exequibilidade da proposta.</w:t>
      </w:r>
      <w:r>
        <w:rPr>
          <w:rFonts w:ascii="Times New Roman" w:eastAsia="Times New Roman" w:hAnsi="Times New Roman" w:cs="Times New Roman"/>
          <w:strike/>
          <w:color w:val="000000"/>
          <w:sz w:val="24"/>
          <w:szCs w:val="24"/>
          <w:vertAlign w:val="superscript"/>
        </w:rPr>
        <w:footnoteReference w:id="76"/>
      </w:r>
    </w:p>
    <w:p w:rsidR="008C7EA8" w:rsidRDefault="007C04D2">
      <w:pPr>
        <w:numPr>
          <w:ilvl w:val="2"/>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sz w:val="24"/>
          <w:szCs w:val="24"/>
        </w:rPr>
        <w:t>Para efeito do subitem anterior, admite-se a adequação técni</w:t>
      </w:r>
      <w:r>
        <w:rPr>
          <w:rFonts w:ascii="Times New Roman" w:eastAsia="Times New Roman" w:hAnsi="Times New Roman" w:cs="Times New Roman"/>
          <w:strike/>
          <w:sz w:val="24"/>
          <w:szCs w:val="24"/>
        </w:rPr>
        <w:t>ca da metodologia empregada pela contratada, visando assegurar a execução do objeto, desde que mantidas as condições para a justa remuneração do serviço.</w:t>
      </w:r>
      <w:r>
        <w:rPr>
          <w:rFonts w:ascii="Times New Roman" w:eastAsia="Times New Roman" w:hAnsi="Times New Roman" w:cs="Times New Roman"/>
          <w:strike/>
          <w:color w:val="000000"/>
          <w:sz w:val="24"/>
          <w:szCs w:val="24"/>
          <w:vertAlign w:val="superscript"/>
        </w:rPr>
        <w:footnoteReference w:id="77"/>
      </w:r>
    </w:p>
    <w:p w:rsidR="008C7EA8" w:rsidRDefault="007C04D2">
      <w:pPr>
        <w:numPr>
          <w:ilvl w:val="1"/>
          <w:numId w:val="2"/>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ab/>
        <w:t>Erros no preenchimento da planilha não constituem motivo para a desclassificação da proposta. A plan</w:t>
      </w:r>
      <w:r>
        <w:rPr>
          <w:rFonts w:ascii="Times New Roman" w:eastAsia="Times New Roman" w:hAnsi="Times New Roman" w:cs="Times New Roman"/>
          <w:strike/>
          <w:color w:val="000000"/>
          <w:sz w:val="24"/>
          <w:szCs w:val="24"/>
        </w:rPr>
        <w:t>ilha poderá́ ser ajustada pelo fornecedor, no prazo indicado pelo sistema, desde que não haja majoração do preço e que se comprove que este é o bastante para arcar com todos os custos da contratação.</w:t>
      </w:r>
      <w:r>
        <w:rPr>
          <w:rFonts w:ascii="Times New Roman" w:eastAsia="Times New Roman" w:hAnsi="Times New Roman" w:cs="Times New Roman"/>
          <w:strike/>
          <w:color w:val="000000"/>
          <w:sz w:val="24"/>
          <w:szCs w:val="24"/>
          <w:vertAlign w:val="superscript"/>
        </w:rPr>
        <w:footnoteReference w:id="78"/>
      </w:r>
    </w:p>
    <w:p w:rsidR="008C7EA8" w:rsidRDefault="007C04D2">
      <w:pPr>
        <w:numPr>
          <w:ilvl w:val="2"/>
          <w:numId w:val="3"/>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O ajuste de que trata este dispositivo se limita a sanar erros ou falhas que não alterem a substância das propostas.</w:t>
      </w:r>
      <w:r>
        <w:rPr>
          <w:rFonts w:ascii="Times New Roman" w:eastAsia="Times New Roman" w:hAnsi="Times New Roman" w:cs="Times New Roman"/>
          <w:strike/>
          <w:color w:val="000000"/>
          <w:sz w:val="24"/>
          <w:szCs w:val="24"/>
          <w:vertAlign w:val="superscript"/>
        </w:rPr>
        <w:footnoteReference w:id="79"/>
      </w:r>
    </w:p>
    <w:p w:rsidR="008C7EA8" w:rsidRDefault="007C04D2">
      <w:pPr>
        <w:numPr>
          <w:ilvl w:val="2"/>
          <w:numId w:val="3"/>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Considera-se erro no preenchimento da planilha passível de correção a indicação de recolhimento de impostos e contribuições na forma do Si</w:t>
      </w:r>
      <w:r>
        <w:rPr>
          <w:rFonts w:ascii="Times New Roman" w:eastAsia="Times New Roman" w:hAnsi="Times New Roman" w:cs="Times New Roman"/>
          <w:strike/>
          <w:color w:val="000000"/>
          <w:sz w:val="24"/>
          <w:szCs w:val="24"/>
        </w:rPr>
        <w:t>mples Nacional, quando não cabível esse regime.</w:t>
      </w:r>
      <w:r>
        <w:rPr>
          <w:rFonts w:ascii="Times New Roman" w:eastAsia="Times New Roman" w:hAnsi="Times New Roman" w:cs="Times New Roman"/>
          <w:strike/>
          <w:color w:val="000000"/>
          <w:sz w:val="24"/>
          <w:szCs w:val="24"/>
          <w:vertAlign w:val="superscript"/>
        </w:rPr>
        <w:footnoteReference w:id="80"/>
      </w:r>
    </w:p>
    <w:p w:rsidR="008C7EA8" w:rsidRDefault="007C04D2">
      <w:pPr>
        <w:numPr>
          <w:ilvl w:val="1"/>
          <w:numId w:val="3"/>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Para fins de análise da proposta quanto ao cumprimento das especificações do objeto, poderá ser colhida a manifestação escrita do setor requisitante do serviço ou da área especializada no objeto.</w:t>
      </w:r>
    </w:p>
    <w:p w:rsidR="008C7EA8" w:rsidRDefault="007C04D2">
      <w:pPr>
        <w:numPr>
          <w:ilvl w:val="1"/>
          <w:numId w:val="3"/>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z w:val="24"/>
          <w:szCs w:val="24"/>
        </w:rPr>
        <w:t>Caso o Termo de Referência exija a apresentação de carta de solidariedade emitida pelo fabricante, que assegure a execução do contrato, no caso de licitante revendedor ou distribuidor, o licitante classificado em primeiro lugar deverá apresentá-la, sob pen</w:t>
      </w:r>
      <w:r>
        <w:rPr>
          <w:rFonts w:ascii="Times New Roman" w:eastAsia="Times New Roman" w:hAnsi="Times New Roman" w:cs="Times New Roman"/>
          <w:sz w:val="24"/>
          <w:szCs w:val="24"/>
        </w:rPr>
        <w:t>a de não aceitação da proposta.</w:t>
      </w:r>
    </w:p>
    <w:p w:rsidR="008C7EA8" w:rsidRDefault="007C04D2">
      <w:pPr>
        <w:numPr>
          <w:ilvl w:val="1"/>
          <w:numId w:val="3"/>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Caso o Termo de Referência exija a apresentação de amostra, o licitante classificado em primeiro lugar deverá apresentá-la, conforme disciplinado no Termo de Referência, sob pena de não aceitação da proposta.</w:t>
      </w:r>
      <w:r>
        <w:rPr>
          <w:rFonts w:ascii="Times New Roman" w:eastAsia="Times New Roman" w:hAnsi="Times New Roman" w:cs="Times New Roman"/>
          <w:strike/>
          <w:color w:val="000000"/>
          <w:sz w:val="24"/>
          <w:szCs w:val="24"/>
          <w:vertAlign w:val="superscript"/>
        </w:rPr>
        <w:footnoteReference w:id="81"/>
      </w:r>
    </w:p>
    <w:p w:rsidR="008C7EA8" w:rsidRDefault="007C04D2">
      <w:pPr>
        <w:numPr>
          <w:ilvl w:val="1"/>
          <w:numId w:val="3"/>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Por meio de me</w:t>
      </w:r>
      <w:r>
        <w:rPr>
          <w:rFonts w:ascii="Times New Roman" w:eastAsia="Times New Roman" w:hAnsi="Times New Roman" w:cs="Times New Roman"/>
          <w:strike/>
          <w:color w:val="000000"/>
          <w:sz w:val="24"/>
          <w:szCs w:val="24"/>
        </w:rPr>
        <w:t>nsagem no sistema, será divulgado o local e horário de realização do procedimento para a avaliação das amostras, cuja presença será facultada a todos os interessados, incluindo os demais licitantes.</w:t>
      </w:r>
      <w:r>
        <w:rPr>
          <w:rFonts w:ascii="Times New Roman" w:eastAsia="Times New Roman" w:hAnsi="Times New Roman" w:cs="Times New Roman"/>
          <w:strike/>
          <w:color w:val="000000"/>
          <w:sz w:val="24"/>
          <w:szCs w:val="24"/>
          <w:vertAlign w:val="superscript"/>
        </w:rPr>
        <w:footnoteReference w:id="82"/>
      </w:r>
    </w:p>
    <w:p w:rsidR="008C7EA8" w:rsidRDefault="007C04D2">
      <w:pPr>
        <w:numPr>
          <w:ilvl w:val="1"/>
          <w:numId w:val="3"/>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Os resultados das avaliações serão divulgados por meio d</w:t>
      </w:r>
      <w:r>
        <w:rPr>
          <w:rFonts w:ascii="Times New Roman" w:eastAsia="Times New Roman" w:hAnsi="Times New Roman" w:cs="Times New Roman"/>
          <w:strike/>
          <w:color w:val="000000"/>
          <w:sz w:val="24"/>
          <w:szCs w:val="24"/>
        </w:rPr>
        <w:t>e mensagem no sistema.</w:t>
      </w:r>
      <w:r>
        <w:rPr>
          <w:rFonts w:ascii="Times New Roman" w:eastAsia="Times New Roman" w:hAnsi="Times New Roman" w:cs="Times New Roman"/>
          <w:strike/>
          <w:color w:val="000000"/>
          <w:sz w:val="24"/>
          <w:szCs w:val="24"/>
          <w:vertAlign w:val="superscript"/>
        </w:rPr>
        <w:footnoteReference w:id="83"/>
      </w:r>
    </w:p>
    <w:p w:rsidR="008C7EA8" w:rsidRDefault="007C04D2">
      <w:pPr>
        <w:numPr>
          <w:ilvl w:val="1"/>
          <w:numId w:val="3"/>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No caso de não haver entrega da amostra ou ocorrer atraso na entrega, sem justificativa aceita pelo Pregoeiro, ou havendo entrega de amostra fora das especificações previstas neste Edital, a proposta do licitante será recusada.</w:t>
      </w:r>
      <w:r>
        <w:rPr>
          <w:rFonts w:ascii="Times New Roman" w:eastAsia="Times New Roman" w:hAnsi="Times New Roman" w:cs="Times New Roman"/>
          <w:strike/>
          <w:color w:val="000000"/>
          <w:sz w:val="24"/>
          <w:szCs w:val="24"/>
          <w:vertAlign w:val="superscript"/>
        </w:rPr>
        <w:footnoteReference w:id="84"/>
      </w:r>
    </w:p>
    <w:p w:rsidR="008C7EA8" w:rsidRDefault="007C04D2">
      <w:pPr>
        <w:numPr>
          <w:ilvl w:val="1"/>
          <w:numId w:val="3"/>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 xml:space="preserve">Se </w:t>
      </w:r>
      <w:proofErr w:type="gramStart"/>
      <w:r>
        <w:rPr>
          <w:rFonts w:ascii="Times New Roman" w:eastAsia="Times New Roman" w:hAnsi="Times New Roman" w:cs="Times New Roman"/>
          <w:strike/>
          <w:color w:val="000000"/>
          <w:sz w:val="24"/>
          <w:szCs w:val="24"/>
        </w:rPr>
        <w:t>a(</w:t>
      </w:r>
      <w:proofErr w:type="gramEnd"/>
      <w:r>
        <w:rPr>
          <w:rFonts w:ascii="Times New Roman" w:eastAsia="Times New Roman" w:hAnsi="Times New Roman" w:cs="Times New Roman"/>
          <w:strike/>
          <w:color w:val="000000"/>
          <w:sz w:val="24"/>
          <w:szCs w:val="24"/>
        </w:rPr>
        <w:t xml:space="preserve">s) amostra(s) apresentada(s) pelo primeiro classificado não for(em) aceita(s), o Pregoeiro analisará a aceitabilidade da proposta ou lance ofertado pelo segundo classificado. Seguir-se-á com a verificação da(s) amostra(s) e, assim, sucessivamente, até a </w:t>
      </w:r>
      <w:r>
        <w:rPr>
          <w:rFonts w:ascii="Times New Roman" w:eastAsia="Times New Roman" w:hAnsi="Times New Roman" w:cs="Times New Roman"/>
          <w:strike/>
          <w:color w:val="000000"/>
          <w:sz w:val="24"/>
          <w:szCs w:val="24"/>
        </w:rPr>
        <w:t>verificação de uma que atenda às especificações constantes no Termo de Referência.</w:t>
      </w:r>
      <w:r>
        <w:rPr>
          <w:rFonts w:ascii="Times New Roman" w:eastAsia="Times New Roman" w:hAnsi="Times New Roman" w:cs="Times New Roman"/>
          <w:strike/>
          <w:color w:val="000000"/>
          <w:sz w:val="24"/>
          <w:szCs w:val="24"/>
          <w:vertAlign w:val="superscript"/>
        </w:rPr>
        <w:footnoteReference w:id="85"/>
      </w:r>
    </w:p>
    <w:p w:rsidR="008C7EA8" w:rsidRDefault="007C04D2">
      <w:pPr>
        <w:numPr>
          <w:ilvl w:val="1"/>
          <w:numId w:val="3"/>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No caso de serviços com dedicação exclusiva de mão-de-obra, o licitante deverá entregar junto com sua proposta de preços, os seguintes documentos:</w:t>
      </w:r>
      <w:r>
        <w:rPr>
          <w:rFonts w:ascii="Times New Roman" w:eastAsia="Times New Roman" w:hAnsi="Times New Roman" w:cs="Times New Roman"/>
          <w:strike/>
          <w:color w:val="000000"/>
          <w:sz w:val="24"/>
          <w:szCs w:val="24"/>
          <w:vertAlign w:val="superscript"/>
        </w:rPr>
        <w:footnoteReference w:id="86"/>
      </w:r>
    </w:p>
    <w:p w:rsidR="008C7EA8" w:rsidRDefault="007C04D2">
      <w:pPr>
        <w:numPr>
          <w:ilvl w:val="2"/>
          <w:numId w:val="3"/>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sz w:val="24"/>
          <w:szCs w:val="24"/>
        </w:rPr>
      </w:pPr>
      <w:r>
        <w:rPr>
          <w:rFonts w:ascii="Times New Roman" w:eastAsia="Times New Roman" w:hAnsi="Times New Roman" w:cs="Times New Roman"/>
          <w:strike/>
          <w:sz w:val="24"/>
          <w:szCs w:val="24"/>
        </w:rPr>
        <w:lastRenderedPageBreak/>
        <w:t xml:space="preserve">declaração informando o </w:t>
      </w:r>
      <w:r>
        <w:rPr>
          <w:rFonts w:ascii="Times New Roman" w:eastAsia="Times New Roman" w:hAnsi="Times New Roman" w:cs="Times New Roman"/>
          <w:strike/>
          <w:sz w:val="24"/>
          <w:szCs w:val="24"/>
        </w:rPr>
        <w:t>enquadramento sindical da empresa, a atividade econômica preponderante e a justificativa para adoção do instrumento coletivo do trabalho em que se baseia sua proposta;</w:t>
      </w:r>
      <w:r>
        <w:rPr>
          <w:rFonts w:ascii="Times New Roman" w:eastAsia="Times New Roman" w:hAnsi="Times New Roman" w:cs="Times New Roman"/>
          <w:strike/>
          <w:sz w:val="24"/>
          <w:szCs w:val="24"/>
          <w:vertAlign w:val="superscript"/>
        </w:rPr>
        <w:footnoteReference w:id="87"/>
      </w:r>
    </w:p>
    <w:p w:rsidR="008C7EA8" w:rsidRDefault="007C04D2">
      <w:pPr>
        <w:numPr>
          <w:ilvl w:val="2"/>
          <w:numId w:val="3"/>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sz w:val="24"/>
          <w:szCs w:val="24"/>
        </w:rPr>
      </w:pPr>
      <w:r>
        <w:rPr>
          <w:rFonts w:ascii="Times New Roman" w:eastAsia="Times New Roman" w:hAnsi="Times New Roman" w:cs="Times New Roman"/>
          <w:strike/>
          <w:sz w:val="24"/>
          <w:szCs w:val="24"/>
        </w:rPr>
        <w:t xml:space="preserve">cópia da carta ou registro sindical do sindicato a qual ele declara ser enquadrado, em </w:t>
      </w:r>
      <w:r>
        <w:rPr>
          <w:rFonts w:ascii="Times New Roman" w:eastAsia="Times New Roman" w:hAnsi="Times New Roman" w:cs="Times New Roman"/>
          <w:strike/>
          <w:sz w:val="24"/>
          <w:szCs w:val="24"/>
        </w:rPr>
        <w:t>razão do regramento do enquadramento sindical previsto na CLT ou por força de decisão judicial;</w:t>
      </w:r>
      <w:r>
        <w:rPr>
          <w:rFonts w:ascii="Times New Roman" w:eastAsia="Times New Roman" w:hAnsi="Times New Roman" w:cs="Times New Roman"/>
          <w:strike/>
          <w:sz w:val="24"/>
          <w:szCs w:val="24"/>
          <w:vertAlign w:val="superscript"/>
        </w:rPr>
        <w:footnoteReference w:id="88"/>
      </w:r>
    </w:p>
    <w:p w:rsidR="008C7EA8" w:rsidRDefault="007C04D2">
      <w:pPr>
        <w:numPr>
          <w:ilvl w:val="2"/>
          <w:numId w:val="3"/>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sz w:val="24"/>
          <w:szCs w:val="24"/>
        </w:rPr>
      </w:pPr>
      <w:r>
        <w:rPr>
          <w:rFonts w:ascii="Times New Roman" w:eastAsia="Times New Roman" w:hAnsi="Times New Roman" w:cs="Times New Roman"/>
          <w:strike/>
          <w:sz w:val="24"/>
          <w:szCs w:val="24"/>
        </w:rPr>
        <w:t xml:space="preserve">cópia do Acordo, Convenção Coletiva de Trabalho ou Dissídio Coletivo utilizado pelo licitante para a elaboração da planilha de custos e formação de preços que </w:t>
      </w:r>
      <w:r>
        <w:rPr>
          <w:rFonts w:ascii="Times New Roman" w:eastAsia="Times New Roman" w:hAnsi="Times New Roman" w:cs="Times New Roman"/>
          <w:strike/>
          <w:sz w:val="24"/>
          <w:szCs w:val="24"/>
        </w:rPr>
        <w:t>embasam o valor global ofertado; e</w:t>
      </w:r>
      <w:r>
        <w:rPr>
          <w:rFonts w:ascii="Times New Roman" w:eastAsia="Times New Roman" w:hAnsi="Times New Roman" w:cs="Times New Roman"/>
          <w:strike/>
          <w:sz w:val="24"/>
          <w:szCs w:val="24"/>
          <w:vertAlign w:val="superscript"/>
        </w:rPr>
        <w:footnoteReference w:id="89"/>
      </w:r>
    </w:p>
    <w:p w:rsidR="008C7EA8" w:rsidRDefault="007C04D2">
      <w:pPr>
        <w:numPr>
          <w:ilvl w:val="2"/>
          <w:numId w:val="3"/>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sz w:val="24"/>
          <w:szCs w:val="24"/>
        </w:rPr>
      </w:pPr>
      <w:r>
        <w:rPr>
          <w:rFonts w:ascii="Times New Roman" w:eastAsia="Times New Roman" w:hAnsi="Times New Roman" w:cs="Times New Roman"/>
          <w:strike/>
          <w:sz w:val="24"/>
          <w:szCs w:val="24"/>
        </w:rPr>
        <w:t>declaração de que se responsabiliza nas situações de ocorrência de erro no enquadramento sindical, ou fraude pela utilização de instrumento coletivo incompatível com o enquadramento sindical declarado ou no qual a empres</w:t>
      </w:r>
      <w:r>
        <w:rPr>
          <w:rFonts w:ascii="Times New Roman" w:eastAsia="Times New Roman" w:hAnsi="Times New Roman" w:cs="Times New Roman"/>
          <w:strike/>
          <w:sz w:val="24"/>
          <w:szCs w:val="24"/>
        </w:rPr>
        <w:t>a não tenha sido representada por órgão de classe de sua categoria, que daí tenha resultado vantagem indevida na fase de julgamento das propostas, sujeitando a contratada às sanções previstas no art. 156, incisos III e IV, da Lei nº 14.133, de 2021.</w:t>
      </w:r>
      <w:r>
        <w:rPr>
          <w:rFonts w:ascii="Times New Roman" w:eastAsia="Times New Roman" w:hAnsi="Times New Roman" w:cs="Times New Roman"/>
          <w:strike/>
          <w:sz w:val="24"/>
          <w:szCs w:val="24"/>
          <w:vertAlign w:val="superscript"/>
        </w:rPr>
        <w:footnoteReference w:id="90"/>
      </w:r>
    </w:p>
    <w:p w:rsidR="008C7EA8" w:rsidRDefault="007C04D2">
      <w:pPr>
        <w:numPr>
          <w:ilvl w:val="1"/>
          <w:numId w:val="3"/>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Na hipótese dos postos de trabalho licitados se distribuírem por território correspondente a mais de uma base sindical da categoria profissional, deverão ser informadas cada uma das normas coletivas utilizadas para o cálculo do custo individual dos postos,</w:t>
      </w:r>
      <w:r>
        <w:rPr>
          <w:rFonts w:ascii="Times New Roman" w:eastAsia="Times New Roman" w:hAnsi="Times New Roman" w:cs="Times New Roman"/>
          <w:strike/>
          <w:color w:val="000000"/>
          <w:sz w:val="24"/>
          <w:szCs w:val="24"/>
        </w:rPr>
        <w:t xml:space="preserve"> a partir da base territorial de cada sindicato.</w:t>
      </w:r>
      <w:r>
        <w:rPr>
          <w:rFonts w:ascii="Times New Roman" w:eastAsia="Times New Roman" w:hAnsi="Times New Roman" w:cs="Times New Roman"/>
          <w:strike/>
          <w:color w:val="000000"/>
          <w:sz w:val="24"/>
          <w:szCs w:val="24"/>
          <w:vertAlign w:val="superscript"/>
        </w:rPr>
        <w:footnoteReference w:id="91"/>
      </w:r>
    </w:p>
    <w:p w:rsidR="008C7EA8" w:rsidRDefault="007C04D2">
      <w:pPr>
        <w:numPr>
          <w:ilvl w:val="1"/>
          <w:numId w:val="3"/>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 xml:space="preserve">O </w:t>
      </w:r>
      <w:r>
        <w:rPr>
          <w:rFonts w:ascii="Times New Roman" w:eastAsia="Times New Roman" w:hAnsi="Times New Roman" w:cs="Times New Roman"/>
          <w:b/>
          <w:strike/>
          <w:color w:val="000000"/>
          <w:sz w:val="24"/>
          <w:szCs w:val="24"/>
        </w:rPr>
        <w:t>Pregoeiro</w:t>
      </w:r>
      <w:r>
        <w:rPr>
          <w:rFonts w:ascii="Times New Roman" w:eastAsia="Times New Roman" w:hAnsi="Times New Roman" w:cs="Times New Roman"/>
          <w:strike/>
          <w:color w:val="000000"/>
          <w:sz w:val="24"/>
          <w:szCs w:val="24"/>
        </w:rPr>
        <w:t xml:space="preserve"> de contratação realizará a verificação da observância da proposta classificada provisoriamente em primeiro lugar quanto aos custos unitários mínimos relevantes estabelecidos pela Administração, além dos demais aspectos ligados à conformidade da proposta a</w:t>
      </w:r>
      <w:r>
        <w:rPr>
          <w:rFonts w:ascii="Times New Roman" w:eastAsia="Times New Roman" w:hAnsi="Times New Roman" w:cs="Times New Roman"/>
          <w:strike/>
          <w:color w:val="000000"/>
          <w:sz w:val="24"/>
          <w:szCs w:val="24"/>
        </w:rPr>
        <w:t>o objeto licitado e à compatibilidade do preço.</w:t>
      </w:r>
      <w:r>
        <w:rPr>
          <w:rFonts w:ascii="Times New Roman" w:eastAsia="Times New Roman" w:hAnsi="Times New Roman" w:cs="Times New Roman"/>
          <w:strike/>
          <w:color w:val="000000"/>
          <w:sz w:val="24"/>
          <w:szCs w:val="24"/>
          <w:vertAlign w:val="superscript"/>
        </w:rPr>
        <w:footnoteReference w:id="92"/>
      </w:r>
    </w:p>
    <w:p w:rsidR="008C7EA8" w:rsidRDefault="007C04D2">
      <w:pPr>
        <w:numPr>
          <w:ilvl w:val="1"/>
          <w:numId w:val="3"/>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 xml:space="preserve">O </w:t>
      </w:r>
      <w:r>
        <w:rPr>
          <w:rFonts w:ascii="Times New Roman" w:eastAsia="Times New Roman" w:hAnsi="Times New Roman" w:cs="Times New Roman"/>
          <w:b/>
          <w:strike/>
          <w:color w:val="000000"/>
          <w:sz w:val="24"/>
          <w:szCs w:val="24"/>
        </w:rPr>
        <w:t>Pregoeiro</w:t>
      </w:r>
      <w:r>
        <w:rPr>
          <w:rFonts w:ascii="Times New Roman" w:eastAsia="Times New Roman" w:hAnsi="Times New Roman" w:cs="Times New Roman"/>
          <w:strike/>
          <w:color w:val="000000"/>
          <w:sz w:val="24"/>
          <w:szCs w:val="24"/>
        </w:rPr>
        <w:t xml:space="preserve"> concederá o prazo de no mínimo 02 (duas) horas para readequação da proposta quando esta não observar os custos unitários mínimos relevantes, </w:t>
      </w:r>
      <w:r>
        <w:rPr>
          <w:rFonts w:ascii="Times New Roman" w:eastAsia="Times New Roman" w:hAnsi="Times New Roman" w:cs="Times New Roman"/>
          <w:strike/>
          <w:color w:val="000000"/>
          <w:sz w:val="24"/>
          <w:szCs w:val="24"/>
        </w:rPr>
        <w:lastRenderedPageBreak/>
        <w:t>sob pena de desclassificação, na forma da Instrução No</w:t>
      </w:r>
      <w:r>
        <w:rPr>
          <w:rFonts w:ascii="Times New Roman" w:eastAsia="Times New Roman" w:hAnsi="Times New Roman" w:cs="Times New Roman"/>
          <w:strike/>
          <w:color w:val="000000"/>
          <w:sz w:val="24"/>
          <w:szCs w:val="24"/>
        </w:rPr>
        <w:t>rmativa nº 73, de 30 de setembro de 2022.</w:t>
      </w:r>
      <w:r>
        <w:rPr>
          <w:rFonts w:ascii="Times New Roman" w:eastAsia="Times New Roman" w:hAnsi="Times New Roman" w:cs="Times New Roman"/>
          <w:strike/>
          <w:color w:val="000000"/>
          <w:sz w:val="24"/>
          <w:szCs w:val="24"/>
          <w:vertAlign w:val="superscript"/>
        </w:rPr>
        <w:footnoteReference w:id="93"/>
      </w:r>
    </w:p>
    <w:p w:rsidR="008C7EA8" w:rsidRDefault="007C04D2">
      <w:pPr>
        <w:numPr>
          <w:ilvl w:val="1"/>
          <w:numId w:val="3"/>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 xml:space="preserve">O </w:t>
      </w:r>
      <w:r>
        <w:rPr>
          <w:rFonts w:ascii="Times New Roman" w:eastAsia="Times New Roman" w:hAnsi="Times New Roman" w:cs="Times New Roman"/>
          <w:b/>
          <w:strike/>
          <w:color w:val="000000"/>
          <w:sz w:val="24"/>
          <w:szCs w:val="24"/>
        </w:rPr>
        <w:t>Pregoeiro</w:t>
      </w:r>
      <w:r>
        <w:rPr>
          <w:rFonts w:ascii="Times New Roman" w:eastAsia="Times New Roman" w:hAnsi="Times New Roman" w:cs="Times New Roman"/>
          <w:strike/>
          <w:color w:val="000000"/>
          <w:sz w:val="24"/>
          <w:szCs w:val="24"/>
        </w:rPr>
        <w:t xml:space="preserve"> deve verificar se as previsões do Acordo, Convenção Coletiva de Trabalho ou Dissídio Coletivo indicados pela Administração estão sendo contempladas na Planilha de Custos e Formação de Preços, em especi</w:t>
      </w:r>
      <w:r>
        <w:rPr>
          <w:rFonts w:ascii="Times New Roman" w:eastAsia="Times New Roman" w:hAnsi="Times New Roman" w:cs="Times New Roman"/>
          <w:strike/>
          <w:color w:val="000000"/>
          <w:sz w:val="24"/>
          <w:szCs w:val="24"/>
        </w:rPr>
        <w:t>al, quando o Acordo, Convenção Coletiva de Trabalho ou Dissídio Coletivo utilizado pelo licitante for diferente da norma coletiva paradigma utilizada pela Administração.</w:t>
      </w:r>
      <w:r>
        <w:rPr>
          <w:rFonts w:ascii="Times New Roman" w:eastAsia="Times New Roman" w:hAnsi="Times New Roman" w:cs="Times New Roman"/>
          <w:strike/>
          <w:color w:val="000000"/>
          <w:sz w:val="24"/>
          <w:szCs w:val="24"/>
          <w:vertAlign w:val="superscript"/>
        </w:rPr>
        <w:footnoteReference w:id="94"/>
      </w:r>
    </w:p>
    <w:p w:rsidR="008C7EA8" w:rsidRDefault="007C04D2">
      <w:pPr>
        <w:numPr>
          <w:ilvl w:val="1"/>
          <w:numId w:val="3"/>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Deverão prevalecer os valores que forem mais benéficos ao trabalhador, na hipótese de</w:t>
      </w:r>
      <w:r>
        <w:rPr>
          <w:rFonts w:ascii="Times New Roman" w:eastAsia="Times New Roman" w:hAnsi="Times New Roman" w:cs="Times New Roman"/>
          <w:strike/>
          <w:color w:val="000000"/>
          <w:sz w:val="24"/>
          <w:szCs w:val="24"/>
        </w:rPr>
        <w:t xml:space="preserve"> que o Acordo, Convenção Coletiva de Trabalho ou Dissídio Coletivo indicado pelo licitante estabelecerem valores de remuneração, incluindo salário base e adicionais, de auxílio-alimentação e de benefícios superiores aos do Acordo, Convenção Coletiva de Tra</w:t>
      </w:r>
      <w:r>
        <w:rPr>
          <w:rFonts w:ascii="Times New Roman" w:eastAsia="Times New Roman" w:hAnsi="Times New Roman" w:cs="Times New Roman"/>
          <w:strike/>
          <w:color w:val="000000"/>
          <w:sz w:val="24"/>
          <w:szCs w:val="24"/>
        </w:rPr>
        <w:t>balho ou Dissídio Coletivo utilizado como paradigma.</w:t>
      </w:r>
      <w:r>
        <w:rPr>
          <w:rFonts w:ascii="Times New Roman" w:eastAsia="Times New Roman" w:hAnsi="Times New Roman" w:cs="Times New Roman"/>
          <w:strike/>
          <w:color w:val="000000"/>
          <w:sz w:val="24"/>
          <w:szCs w:val="24"/>
          <w:vertAlign w:val="superscript"/>
        </w:rPr>
        <w:footnoteReference w:id="95"/>
      </w: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strike/>
          <w:sz w:val="24"/>
          <w:szCs w:val="24"/>
        </w:rPr>
      </w:pPr>
    </w:p>
    <w:p w:rsidR="008C7EA8" w:rsidRDefault="007C04D2">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0000"/>
          <w:sz w:val="24"/>
          <w:szCs w:val="24"/>
        </w:rPr>
      </w:pPr>
      <w:bookmarkStart w:id="28" w:name="_heading=h.xati63n2ex29" w:colFirst="0" w:colLast="0"/>
      <w:bookmarkEnd w:id="28"/>
      <w:r>
        <w:rPr>
          <w:rFonts w:ascii="Times New Roman" w:eastAsia="Times New Roman" w:hAnsi="Times New Roman" w:cs="Times New Roman"/>
          <w:b/>
          <w:color w:val="000000"/>
          <w:sz w:val="24"/>
          <w:szCs w:val="24"/>
        </w:rPr>
        <w:t>DA FASE DE JULGAMENTO</w:t>
      </w:r>
    </w:p>
    <w:p w:rsidR="008C7EA8" w:rsidRDefault="008C7EA8">
      <w:pPr>
        <w:tabs>
          <w:tab w:val="left" w:pos="1418"/>
        </w:tabs>
        <w:spacing w:line="360" w:lineRule="auto"/>
        <w:jc w:val="both"/>
        <w:rPr>
          <w:rFonts w:ascii="Times New Roman" w:eastAsia="Times New Roman" w:hAnsi="Times New Roman" w:cs="Times New Roman"/>
          <w:sz w:val="24"/>
          <w:szCs w:val="24"/>
        </w:rPr>
      </w:pP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2" w:anchor="art62">
        <w:r>
          <w:rPr>
            <w:rFonts w:ascii="Times New Roman" w:eastAsia="Times New Roman" w:hAnsi="Times New Roman" w:cs="Times New Roman"/>
            <w:color w:val="000000"/>
            <w:sz w:val="24"/>
            <w:szCs w:val="24"/>
          </w:rPr>
          <w:t>arts. 62 a 70 da Lei nº 14.133, de 2021</w:t>
        </w:r>
      </w:hyperlink>
      <w:r>
        <w:rPr>
          <w:rFonts w:ascii="Times New Roman" w:eastAsia="Times New Roman" w:hAnsi="Times New Roman" w:cs="Times New Roman"/>
          <w:color w:val="000000"/>
          <w:sz w:val="24"/>
          <w:szCs w:val="24"/>
        </w:rPr>
        <w:t>.</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bookmarkStart w:id="29" w:name="_heading=h.2jxsxqh" w:colFirst="0" w:colLast="0"/>
      <w:bookmarkEnd w:id="29"/>
      <w:r>
        <w:rPr>
          <w:rFonts w:ascii="Times New Roman" w:eastAsia="Times New Roman" w:hAnsi="Times New Roman" w:cs="Times New Roman"/>
          <w:color w:val="000000"/>
          <w:sz w:val="24"/>
          <w:szCs w:val="24"/>
        </w:rPr>
        <w:t>A documentação exigida para fins de habilitação jurídica, fiscal, social e trabalhista e econômico-ﬁnanceira, poderá</w:t>
      </w:r>
      <w:r>
        <w:rPr>
          <w:rFonts w:ascii="Times New Roman" w:eastAsia="Times New Roman" w:hAnsi="Times New Roman" w:cs="Times New Roman"/>
          <w:color w:val="000000"/>
          <w:sz w:val="24"/>
          <w:szCs w:val="24"/>
        </w:rPr>
        <w:t xml:space="preserve"> ser substituída pelo registro cadastral no SICAF.</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Quando permitida a participação de empresas estrangeiras que não funcionem no País, as exigências de habilitação serão atendidas mediante documentos equivalentes, inicialmente apresentados em tradução livr</w:t>
      </w:r>
      <w:r>
        <w:rPr>
          <w:rFonts w:ascii="Times New Roman" w:eastAsia="Times New Roman" w:hAnsi="Times New Roman" w:cs="Times New Roman"/>
          <w:color w:val="000000"/>
          <w:sz w:val="24"/>
          <w:szCs w:val="24"/>
        </w:rPr>
        <w:t>e.</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 hipótese de o licitante vencedor ser empresa estrangeira que não funcione no País, para ﬁns de assinatura do Contrato ou da ata de registro de preços, os documentos exigidos para a habilitação serão traduzidos por tradutor juramentado no País e apost</w:t>
      </w:r>
      <w:r>
        <w:rPr>
          <w:rFonts w:ascii="Times New Roman" w:eastAsia="Times New Roman" w:hAnsi="Times New Roman" w:cs="Times New Roman"/>
          <w:color w:val="000000"/>
          <w:sz w:val="24"/>
          <w:szCs w:val="24"/>
        </w:rPr>
        <w:t xml:space="preserve">ilados nos termos do disposto no </w:t>
      </w:r>
      <w:hyperlink r:id="rId33">
        <w:r>
          <w:rPr>
            <w:rFonts w:ascii="Times New Roman" w:eastAsia="Times New Roman" w:hAnsi="Times New Roman" w:cs="Times New Roman"/>
            <w:color w:val="000000"/>
            <w:sz w:val="24"/>
            <w:szCs w:val="24"/>
          </w:rPr>
          <w:t>Decreto nº 8.660, de 29 de janeiro de 2016</w:t>
        </w:r>
      </w:hyperlink>
      <w:r>
        <w:rPr>
          <w:rFonts w:ascii="Times New Roman" w:eastAsia="Times New Roman" w:hAnsi="Times New Roman" w:cs="Times New Roman"/>
          <w:color w:val="000000"/>
          <w:sz w:val="24"/>
          <w:szCs w:val="24"/>
        </w:rPr>
        <w:t xml:space="preserve">, ou de outro que venha a substituí-lo, ou consularizados pelos respectivos consulados </w:t>
      </w:r>
      <w:r>
        <w:rPr>
          <w:rFonts w:ascii="Times New Roman" w:eastAsia="Times New Roman" w:hAnsi="Times New Roman" w:cs="Times New Roman"/>
          <w:color w:val="000000"/>
          <w:sz w:val="24"/>
          <w:szCs w:val="24"/>
        </w:rPr>
        <w:t>ou embaixadas.</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i/>
          <w:strike/>
          <w:color w:val="000000"/>
          <w:sz w:val="24"/>
          <w:szCs w:val="24"/>
        </w:rPr>
      </w:pPr>
      <w:r>
        <w:rPr>
          <w:rFonts w:ascii="Times New Roman" w:eastAsia="Times New Roman" w:hAnsi="Times New Roman" w:cs="Times New Roman"/>
          <w:strike/>
          <w:color w:val="000000"/>
          <w:sz w:val="24"/>
          <w:szCs w:val="24"/>
        </w:rPr>
        <w:lastRenderedPageBreak/>
        <w:t xml:space="preserve">Quando permitida a participação de consórcio de empresas, a habilitação técnica, quando exigida, será feita por meio do somatório dos quantitativos de cada consorciado e, para efeito de habilitação econômico-financeira, quando exigida, será </w:t>
      </w:r>
      <w:r>
        <w:rPr>
          <w:rFonts w:ascii="Times New Roman" w:eastAsia="Times New Roman" w:hAnsi="Times New Roman" w:cs="Times New Roman"/>
          <w:strike/>
          <w:color w:val="000000"/>
          <w:sz w:val="24"/>
          <w:szCs w:val="24"/>
        </w:rPr>
        <w:t>observado o somatório dos valores de cada consorciado.</w:t>
      </w:r>
      <w:r>
        <w:rPr>
          <w:b/>
          <w:color w:val="000000"/>
          <w:vertAlign w:val="superscript"/>
        </w:rPr>
        <w:footnoteReference w:id="96"/>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sz w:val="24"/>
          <w:szCs w:val="24"/>
        </w:rPr>
      </w:pPr>
      <w:r>
        <w:rPr>
          <w:rFonts w:ascii="Times New Roman" w:eastAsia="Times New Roman" w:hAnsi="Times New Roman" w:cs="Times New Roman"/>
          <w:strike/>
          <w:sz w:val="24"/>
          <w:szCs w:val="24"/>
        </w:rPr>
        <w:t>Se o consórcio não for formado integralmente por microempresas ou empresas de pequeno porte e o termo de referência exigir requisitos de habilitação econômico-financeira, haverá um acréscimo de [INSER</w:t>
      </w:r>
      <w:r>
        <w:rPr>
          <w:rFonts w:ascii="Times New Roman" w:eastAsia="Times New Roman" w:hAnsi="Times New Roman" w:cs="Times New Roman"/>
          <w:strike/>
          <w:sz w:val="24"/>
          <w:szCs w:val="24"/>
        </w:rPr>
        <w:t>IR UM PERCENTUAL 10% A 30 %, SALVO SE HOUVER JUSTIFICATIVA NOS AUTOS PARA SUPRIMIR ESSE ACRÉSCIMO] para o consórcio em relação ao valor exigido para os licitantes individuais.</w:t>
      </w:r>
      <w:r>
        <w:rPr>
          <w:rFonts w:ascii="Times New Roman" w:eastAsia="Times New Roman" w:hAnsi="Times New Roman" w:cs="Times New Roman"/>
          <w:b/>
          <w:strike/>
          <w:sz w:val="24"/>
          <w:szCs w:val="24"/>
          <w:vertAlign w:val="superscript"/>
        </w:rPr>
        <w:footnoteReference w:id="97"/>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B050"/>
          <w:sz w:val="24"/>
          <w:szCs w:val="24"/>
        </w:rPr>
      </w:pPr>
      <w:r>
        <w:rPr>
          <w:rFonts w:ascii="Times New Roman" w:eastAsia="Times New Roman" w:hAnsi="Times New Roman" w:cs="Times New Roman"/>
          <w:b/>
          <w:color w:val="00B050"/>
          <w:sz w:val="24"/>
          <w:szCs w:val="24"/>
        </w:rPr>
        <w:t>Os documentos exigidos para fins de habilitação poderão ser apresentados em ori</w:t>
      </w:r>
      <w:r>
        <w:rPr>
          <w:rFonts w:ascii="Times New Roman" w:eastAsia="Times New Roman" w:hAnsi="Times New Roman" w:cs="Times New Roman"/>
          <w:b/>
          <w:color w:val="00B050"/>
          <w:sz w:val="24"/>
          <w:szCs w:val="24"/>
        </w:rPr>
        <w:t>ginal, por cópia ou por qualquer meio eletrônico idôneo e legalmente aceito, desde que apresentados tempestivamente e em conformidade com este Edital.</w:t>
      </w:r>
      <w:r>
        <w:rPr>
          <w:rFonts w:ascii="Times New Roman" w:eastAsia="Times New Roman" w:hAnsi="Times New Roman" w:cs="Times New Roman"/>
          <w:b/>
          <w:color w:val="00B050"/>
          <w:sz w:val="24"/>
          <w:szCs w:val="24"/>
          <w:vertAlign w:val="superscript"/>
        </w:rPr>
        <w:footnoteReference w:id="98"/>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Os documentos exigidos para fins de habilitação poderão ser substituídos por registro cadastral emitido por órgão ou entidade pública, desde que o registro tenha sido feito em obediência ao disposto na Lei nº 14.133/2021.</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Será verificado se o licitante apr</w:t>
      </w:r>
      <w:r>
        <w:rPr>
          <w:rFonts w:ascii="Times New Roman" w:eastAsia="Times New Roman" w:hAnsi="Times New Roman" w:cs="Times New Roman"/>
          <w:color w:val="000000"/>
          <w:sz w:val="24"/>
          <w:szCs w:val="24"/>
        </w:rPr>
        <w:t>esentou declaração de que atende aos requisitos de habilitação, e o declarante responderá pela veracidade das informações prestadas, na forma da lei.</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Será verificado se o licitante apresentou no sistema, sob pena de inabilitação, a declaração de que cumpre</w:t>
      </w:r>
      <w:r>
        <w:rPr>
          <w:rFonts w:ascii="Times New Roman" w:eastAsia="Times New Roman" w:hAnsi="Times New Roman" w:cs="Times New Roman"/>
          <w:color w:val="000000"/>
          <w:sz w:val="24"/>
          <w:szCs w:val="24"/>
        </w:rPr>
        <w:t xml:space="preserve"> as exigências de reserva de cargos para pessoa com deficiência e para reabilitado da Previdência Social, previstas em lei e em outras normas específicas.</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 licitante deverá apresentar, sob pena de desclassificação, declaração de que suas propostas econômi</w:t>
      </w:r>
      <w:r>
        <w:rPr>
          <w:rFonts w:ascii="Times New Roman" w:eastAsia="Times New Roman" w:hAnsi="Times New Roman" w:cs="Times New Roman"/>
          <w:color w:val="000000"/>
          <w:sz w:val="24"/>
          <w:szCs w:val="24"/>
        </w:rPr>
        <w:t>cas compreendem a integralidade dos custos para atendimento dos direitos trabalhistas assegurados na Constituição Federal, nas leis trabalhistas, nas normas infralegais, nas convenções coletivas de trabalho e nos termos de ajustamento de conduta vigentes n</w:t>
      </w:r>
      <w:r>
        <w:rPr>
          <w:rFonts w:ascii="Times New Roman" w:eastAsia="Times New Roman" w:hAnsi="Times New Roman" w:cs="Times New Roman"/>
          <w:color w:val="000000"/>
          <w:sz w:val="24"/>
          <w:szCs w:val="24"/>
        </w:rPr>
        <w:t>a data de entrega das propostas.</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B050"/>
          <w:sz w:val="24"/>
          <w:szCs w:val="24"/>
        </w:rPr>
      </w:pPr>
      <w:r>
        <w:rPr>
          <w:rFonts w:ascii="Times New Roman" w:eastAsia="Times New Roman" w:hAnsi="Times New Roman" w:cs="Times New Roman"/>
          <w:b/>
          <w:color w:val="00B050"/>
          <w:sz w:val="24"/>
          <w:szCs w:val="24"/>
        </w:rPr>
        <w:t xml:space="preserve">Para o conhecimento pleno das condições e peculiaridades do objeto a ser contratado, o licitante deve atestar, sob pena de inabilitação, que conhece o local e as </w:t>
      </w:r>
      <w:r>
        <w:rPr>
          <w:rFonts w:ascii="Times New Roman" w:eastAsia="Times New Roman" w:hAnsi="Times New Roman" w:cs="Times New Roman"/>
          <w:b/>
          <w:color w:val="00B050"/>
          <w:sz w:val="24"/>
          <w:szCs w:val="24"/>
        </w:rPr>
        <w:lastRenderedPageBreak/>
        <w:t>condições de realização do serviço, assegurado a ele o direito de realização de vistoria prévi</w:t>
      </w:r>
      <w:r>
        <w:rPr>
          <w:rFonts w:ascii="Times New Roman" w:eastAsia="Times New Roman" w:hAnsi="Times New Roman" w:cs="Times New Roman"/>
          <w:b/>
          <w:color w:val="00B050"/>
          <w:sz w:val="24"/>
          <w:szCs w:val="24"/>
        </w:rPr>
        <w:t>a.</w:t>
      </w:r>
      <w:r>
        <w:rPr>
          <w:rFonts w:ascii="Times New Roman" w:eastAsia="Times New Roman" w:hAnsi="Times New Roman" w:cs="Times New Roman"/>
          <w:b/>
          <w:color w:val="00B050"/>
          <w:sz w:val="24"/>
          <w:szCs w:val="24"/>
          <w:vertAlign w:val="superscript"/>
        </w:rPr>
        <w:footnoteReference w:id="99"/>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B050"/>
          <w:sz w:val="24"/>
          <w:szCs w:val="24"/>
        </w:rPr>
      </w:pPr>
      <w:r>
        <w:rPr>
          <w:rFonts w:ascii="Times New Roman" w:eastAsia="Times New Roman" w:hAnsi="Times New Roman" w:cs="Times New Roman"/>
          <w:b/>
          <w:color w:val="00B050"/>
          <w:sz w:val="24"/>
          <w:szCs w:val="24"/>
        </w:rPr>
        <w:t>O licitante que optar por realizar vistoria prévia terá disponibilizado pela Administração data e horário exclusivos, a ser agendado conforme disposições do Termo de Referência, de modo que seu agendamento não coincida com o agendamento de outros licit</w:t>
      </w:r>
      <w:r>
        <w:rPr>
          <w:rFonts w:ascii="Times New Roman" w:eastAsia="Times New Roman" w:hAnsi="Times New Roman" w:cs="Times New Roman"/>
          <w:b/>
          <w:color w:val="00B050"/>
          <w:sz w:val="24"/>
          <w:szCs w:val="24"/>
        </w:rPr>
        <w:t>antes.</w:t>
      </w:r>
      <w:r>
        <w:rPr>
          <w:rFonts w:ascii="Times New Roman" w:eastAsia="Times New Roman" w:hAnsi="Times New Roman" w:cs="Times New Roman"/>
          <w:b/>
          <w:color w:val="00B050"/>
          <w:sz w:val="24"/>
          <w:szCs w:val="24"/>
          <w:vertAlign w:val="superscript"/>
        </w:rPr>
        <w:footnoteReference w:id="100"/>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B050"/>
          <w:sz w:val="24"/>
          <w:szCs w:val="24"/>
        </w:rPr>
      </w:pPr>
      <w:r>
        <w:rPr>
          <w:rFonts w:ascii="Times New Roman" w:eastAsia="Times New Roman" w:hAnsi="Times New Roman" w:cs="Times New Roman"/>
          <w:b/>
          <w:color w:val="00B050"/>
          <w:sz w:val="24"/>
          <w:szCs w:val="24"/>
        </w:rPr>
        <w:t>Caso o licitante opte por não realizar a vistoria, poderá substituir a declaração exigida no presente item por declaração formal assinada pelo seu responsável técnico acerca do conhecimento pleno das condições e peculiaridades da contratação, confo</w:t>
      </w:r>
      <w:r>
        <w:rPr>
          <w:rFonts w:ascii="Times New Roman" w:eastAsia="Times New Roman" w:hAnsi="Times New Roman" w:cs="Times New Roman"/>
          <w:b/>
          <w:color w:val="00B050"/>
          <w:sz w:val="24"/>
          <w:szCs w:val="24"/>
        </w:rPr>
        <w:t>rme modelo próprio Anexo deste Edital.</w:t>
      </w:r>
      <w:r>
        <w:rPr>
          <w:rFonts w:ascii="Times New Roman" w:eastAsia="Times New Roman" w:hAnsi="Times New Roman" w:cs="Times New Roman"/>
          <w:b/>
          <w:color w:val="00B050"/>
          <w:sz w:val="24"/>
          <w:szCs w:val="24"/>
          <w:vertAlign w:val="superscript"/>
        </w:rPr>
        <w:footnoteReference w:id="101"/>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habilitação será verificada por meio do Sicaf, nos documentos por ele abrangidos.</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Somente haverá a necessidade de comprovação do preenchimento de requisitos mediante apresentação dos documentos originais não-digita</w:t>
      </w:r>
      <w:r>
        <w:rPr>
          <w:rFonts w:ascii="Times New Roman" w:eastAsia="Times New Roman" w:hAnsi="Times New Roman" w:cs="Times New Roman"/>
          <w:color w:val="000000"/>
          <w:sz w:val="24"/>
          <w:szCs w:val="24"/>
        </w:rPr>
        <w:t>is quando houver dúvida em relação à integridade do documento digital ou quando a lei expressamente o exigir.</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É de responsabilidade do licitante conferir a exatidão dos seus dados cadastrais no Sicaf e mantê-los atualizados junto aos órgãos responsáveis pe</w:t>
      </w:r>
      <w:r>
        <w:rPr>
          <w:rFonts w:ascii="Times New Roman" w:eastAsia="Times New Roman" w:hAnsi="Times New Roman" w:cs="Times New Roman"/>
          <w:color w:val="000000"/>
          <w:sz w:val="24"/>
          <w:szCs w:val="24"/>
        </w:rPr>
        <w:t>la informação, devendo proceder, imediatamente, à correção ou à alteração dos registros tão logo identifique incorreção ou aqueles se tornem desatualizados.</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não observância do disposto no item anterior poderá ensejar desclassificação no momento da habili</w:t>
      </w:r>
      <w:r>
        <w:rPr>
          <w:rFonts w:ascii="Times New Roman" w:eastAsia="Times New Roman" w:hAnsi="Times New Roman" w:cs="Times New Roman"/>
          <w:color w:val="000000"/>
          <w:sz w:val="24"/>
          <w:szCs w:val="24"/>
        </w:rPr>
        <w:t>tação.</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verificação pelo </w:t>
      </w:r>
      <w:r>
        <w:rPr>
          <w:rFonts w:ascii="Times New Roman" w:eastAsia="Times New Roman" w:hAnsi="Times New Roman" w:cs="Times New Roman"/>
          <w:b/>
          <w:color w:val="000000"/>
          <w:sz w:val="24"/>
          <w:szCs w:val="24"/>
        </w:rPr>
        <w:t>Pregoeiro</w:t>
      </w:r>
      <w:r>
        <w:rPr>
          <w:rFonts w:ascii="Times New Roman" w:eastAsia="Times New Roman" w:hAnsi="Times New Roman" w:cs="Times New Roman"/>
          <w:color w:val="000000"/>
          <w:sz w:val="24"/>
          <w:szCs w:val="24"/>
        </w:rPr>
        <w:t>, em sítios eletrônicos oficiais de órgãos e entidades emissores de certidões constitui meio legal de prova, para fins de habilitação.</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z w:val="24"/>
          <w:szCs w:val="24"/>
        </w:rPr>
      </w:pPr>
      <w:bookmarkStart w:id="30" w:name="_heading=h.z337ya" w:colFirst="0" w:colLast="0"/>
      <w:bookmarkEnd w:id="30"/>
      <w:r>
        <w:rPr>
          <w:rFonts w:ascii="Times New Roman" w:eastAsia="Times New Roman" w:hAnsi="Times New Roman" w:cs="Times New Roman"/>
          <w:sz w:val="24"/>
          <w:szCs w:val="24"/>
        </w:rPr>
        <w:lastRenderedPageBreak/>
        <w:t>Os documentos exigidos para habilitação que não estejam contemplados no Sicaf serão en</w:t>
      </w:r>
      <w:r>
        <w:rPr>
          <w:rFonts w:ascii="Times New Roman" w:eastAsia="Times New Roman" w:hAnsi="Times New Roman" w:cs="Times New Roman"/>
          <w:sz w:val="24"/>
          <w:szCs w:val="24"/>
        </w:rPr>
        <w:t xml:space="preserve">viados por meio do sistema, em formato digital, no prazo de </w:t>
      </w:r>
      <w:r>
        <w:rPr>
          <w:rFonts w:ascii="Times New Roman" w:eastAsia="Times New Roman" w:hAnsi="Times New Roman" w:cs="Times New Roman"/>
          <w:b/>
          <w:color w:val="00B0F0"/>
          <w:sz w:val="24"/>
          <w:szCs w:val="24"/>
        </w:rPr>
        <w:t>24 (vinte e quatro) horas</w:t>
      </w:r>
      <w:r>
        <w:rPr>
          <w:rFonts w:ascii="Times New Roman" w:eastAsia="Times New Roman" w:hAnsi="Times New Roman" w:cs="Times New Roman"/>
          <w:b/>
          <w:color w:val="00B0F0"/>
          <w:sz w:val="24"/>
          <w:szCs w:val="24"/>
          <w:vertAlign w:val="superscript"/>
        </w:rPr>
        <w:footnoteReference w:id="102"/>
      </w:r>
      <w:r>
        <w:rPr>
          <w:rFonts w:ascii="Times New Roman" w:eastAsia="Times New Roman" w:hAnsi="Times New Roman" w:cs="Times New Roman"/>
          <w:sz w:val="24"/>
          <w:szCs w:val="24"/>
        </w:rPr>
        <w:t>, prorrogável por igual período, contado da solicitação do pregoeiro.</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 hipótese de a fase de habilitação anteceder a fase de apresentação de propostas e lances, os licitantes encaminharão, por meio do sistema, simultaneamente os documentos de habilitação e a proposta com o preço ou o percentual de desconto, observado o dis</w:t>
      </w:r>
      <w:r>
        <w:rPr>
          <w:rFonts w:ascii="Times New Roman" w:eastAsia="Times New Roman" w:hAnsi="Times New Roman" w:cs="Times New Roman"/>
          <w:color w:val="000000"/>
          <w:sz w:val="24"/>
          <w:szCs w:val="24"/>
        </w:rPr>
        <w:t xml:space="preserve">posto no </w:t>
      </w:r>
      <w:hyperlink r:id="rId34">
        <w:r>
          <w:rPr>
            <w:rFonts w:ascii="Times New Roman" w:eastAsia="Times New Roman" w:hAnsi="Times New Roman" w:cs="Times New Roman"/>
            <w:color w:val="000000"/>
            <w:sz w:val="24"/>
            <w:szCs w:val="24"/>
          </w:rPr>
          <w:t>§ 1º do art. 36 e no § 1º do art. 39 da Instrução Normativa SEGES nº 73, de 30 de</w:t>
        </w:r>
        <w:r>
          <w:rPr>
            <w:rFonts w:ascii="Times New Roman" w:eastAsia="Times New Roman" w:hAnsi="Times New Roman" w:cs="Times New Roman"/>
            <w:color w:val="000000"/>
            <w:sz w:val="24"/>
            <w:szCs w:val="24"/>
          </w:rPr>
          <w:t xml:space="preserve"> setembro de 2022.</w:t>
        </w:r>
      </w:hyperlink>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verificação no Sicaf ou a exigência dos documentos nele não contidos somente será feita em relação ao licitante vencedor.</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Os documentos relativos à regularidade fiscal que constem do Termo de Referência somente serão exigidos, em qualq</w:t>
      </w:r>
      <w:r>
        <w:rPr>
          <w:rFonts w:ascii="Times New Roman" w:eastAsia="Times New Roman" w:hAnsi="Times New Roman" w:cs="Times New Roman"/>
          <w:color w:val="000000"/>
          <w:sz w:val="24"/>
          <w:szCs w:val="24"/>
        </w:rPr>
        <w:t>uer caso, em momento posterior ao julgamento das propostas, e apenas do licitante mais bem classificado.</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Respeitada a exceção do subitem anterior, relativa à regularidade fiscal, quando a fase de habilitação anteceder as fases de apresentação de propostas </w:t>
      </w:r>
      <w:r>
        <w:rPr>
          <w:rFonts w:ascii="Times New Roman" w:eastAsia="Times New Roman" w:hAnsi="Times New Roman" w:cs="Times New Roman"/>
          <w:color w:val="000000"/>
          <w:sz w:val="24"/>
          <w:szCs w:val="24"/>
        </w:rPr>
        <w:t>e lances e de julgamento, a verificação ou exigência do presente subitem ocorrerá em relação a todos os licitantes.</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B0F0"/>
          <w:sz w:val="24"/>
          <w:szCs w:val="24"/>
        </w:rPr>
      </w:pPr>
      <w:r>
        <w:rPr>
          <w:rFonts w:ascii="Times New Roman" w:eastAsia="Times New Roman" w:hAnsi="Times New Roman" w:cs="Times New Roman"/>
          <w:b/>
          <w:color w:val="00B0F0"/>
          <w:sz w:val="24"/>
          <w:szCs w:val="24"/>
        </w:rPr>
        <w:t xml:space="preserve">Encerrado o prazo para envio da documentação de que trata o item 9.13.1, poderá ser admitida, mediante decisão fundamentada do </w:t>
      </w:r>
      <w:r>
        <w:rPr>
          <w:rFonts w:ascii="Times New Roman" w:eastAsia="Times New Roman" w:hAnsi="Times New Roman" w:cs="Times New Roman"/>
          <w:b/>
          <w:color w:val="00B0F0"/>
          <w:sz w:val="24"/>
          <w:szCs w:val="24"/>
          <w:u w:val="single"/>
        </w:rPr>
        <w:t>Pregoeiro</w:t>
      </w:r>
      <w:r>
        <w:rPr>
          <w:rFonts w:ascii="Times New Roman" w:eastAsia="Times New Roman" w:hAnsi="Times New Roman" w:cs="Times New Roman"/>
          <w:b/>
          <w:color w:val="00B0F0"/>
          <w:sz w:val="24"/>
          <w:szCs w:val="24"/>
        </w:rPr>
        <w:t xml:space="preserve">, a </w:t>
      </w:r>
      <w:r>
        <w:rPr>
          <w:rFonts w:ascii="Times New Roman" w:eastAsia="Times New Roman" w:hAnsi="Times New Roman" w:cs="Times New Roman"/>
          <w:b/>
          <w:color w:val="00B0F0"/>
          <w:sz w:val="24"/>
          <w:szCs w:val="24"/>
        </w:rPr>
        <w:t>apresentação de novos documentos de habilitação ou a complementação de informações acerca dos documentos já apresentados pelos licitantes, em até 24 (vinte e quatro) horas, para:</w:t>
      </w:r>
      <w:r>
        <w:rPr>
          <w:rFonts w:ascii="Times New Roman" w:eastAsia="Times New Roman" w:hAnsi="Times New Roman" w:cs="Times New Roman"/>
          <w:b/>
          <w:color w:val="00B0F0"/>
          <w:sz w:val="24"/>
          <w:szCs w:val="24"/>
          <w:vertAlign w:val="superscript"/>
        </w:rPr>
        <w:footnoteReference w:id="103"/>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sz w:val="24"/>
          <w:szCs w:val="24"/>
        </w:rPr>
        <w:t>a</w:t>
      </w:r>
      <w:proofErr w:type="gramEnd"/>
      <w:r>
        <w:rPr>
          <w:rFonts w:ascii="Times New Roman" w:eastAsia="Times New Roman" w:hAnsi="Times New Roman" w:cs="Times New Roman"/>
          <w:sz w:val="24"/>
          <w:szCs w:val="24"/>
        </w:rPr>
        <w:t xml:space="preserve"> aferição das condições de habilitação do licitante, desde que decorrentes de fatos existentes à época da abertura do certame;</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atualização</w:t>
      </w:r>
      <w:proofErr w:type="gramEnd"/>
      <w:r>
        <w:rPr>
          <w:rFonts w:ascii="Times New Roman" w:eastAsia="Times New Roman" w:hAnsi="Times New Roman" w:cs="Times New Roman"/>
          <w:sz w:val="24"/>
          <w:szCs w:val="24"/>
        </w:rPr>
        <w:t xml:space="preserve"> de documentos cuja validade tenha expirado após a data de recebimento das propostas;</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suprimento</w:t>
      </w:r>
      <w:proofErr w:type="gramEnd"/>
      <w:r>
        <w:rPr>
          <w:rFonts w:ascii="Times New Roman" w:eastAsia="Times New Roman" w:hAnsi="Times New Roman" w:cs="Times New Roman"/>
          <w:sz w:val="24"/>
          <w:szCs w:val="24"/>
        </w:rPr>
        <w:t xml:space="preserve"> da ausência de docum</w:t>
      </w:r>
      <w:r>
        <w:rPr>
          <w:rFonts w:ascii="Times New Roman" w:eastAsia="Times New Roman" w:hAnsi="Times New Roman" w:cs="Times New Roman"/>
          <w:sz w:val="24"/>
          <w:szCs w:val="24"/>
        </w:rPr>
        <w:t>ento de cunho declaratório emitido unilateralmente pelo licitante; e</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suprimento</w:t>
      </w:r>
      <w:proofErr w:type="gramEnd"/>
      <w:r>
        <w:rPr>
          <w:rFonts w:ascii="Times New Roman" w:eastAsia="Times New Roman" w:hAnsi="Times New Roman" w:cs="Times New Roman"/>
          <w:sz w:val="24"/>
          <w:szCs w:val="24"/>
        </w:rPr>
        <w:t xml:space="preserve"> da ausência de certidão e/ou documento de cunho declaratório expedido por órgão ou entidade cujos atos gozem de presunção de veracidade e fé pública.</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z w:val="24"/>
          <w:szCs w:val="24"/>
        </w:rPr>
      </w:pPr>
      <w:bookmarkStart w:id="31" w:name="_heading=h.3j2qqm3" w:colFirst="0" w:colLast="0"/>
      <w:bookmarkEnd w:id="31"/>
      <w:r>
        <w:rPr>
          <w:rFonts w:ascii="Times New Roman" w:eastAsia="Times New Roman" w:hAnsi="Times New Roman" w:cs="Times New Roman"/>
          <w:sz w:val="24"/>
          <w:szCs w:val="24"/>
        </w:rPr>
        <w:t>Findo o prazo assinalado s</w:t>
      </w:r>
      <w:r>
        <w:rPr>
          <w:rFonts w:ascii="Times New Roman" w:eastAsia="Times New Roman" w:hAnsi="Times New Roman" w:cs="Times New Roman"/>
          <w:sz w:val="24"/>
          <w:szCs w:val="24"/>
        </w:rPr>
        <w:t>em o envio da nova documentação, restará preclusa essa oportunidade conferida ao licitante, implicando sua inabilitação.</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 análise dos documentos de habilitação, o </w:t>
      </w:r>
      <w:r>
        <w:rPr>
          <w:rFonts w:ascii="Times New Roman" w:eastAsia="Times New Roman" w:hAnsi="Times New Roman" w:cs="Times New Roman"/>
          <w:b/>
          <w:color w:val="00B050"/>
          <w:sz w:val="24"/>
          <w:szCs w:val="24"/>
          <w:u w:val="single"/>
        </w:rPr>
        <w:t>Pregoeiro</w:t>
      </w:r>
      <w:r>
        <w:rPr>
          <w:rFonts w:ascii="Times New Roman" w:eastAsia="Times New Roman" w:hAnsi="Times New Roman" w:cs="Times New Roman"/>
          <w:b/>
          <w:color w:val="00B050"/>
          <w:sz w:val="24"/>
          <w:szCs w:val="24"/>
          <w:vertAlign w:val="superscript"/>
        </w:rPr>
        <w:footnoteReference w:id="104"/>
      </w:r>
      <w:r>
        <w:rPr>
          <w:rFonts w:ascii="Times New Roman" w:eastAsia="Times New Roman" w:hAnsi="Times New Roman" w:cs="Times New Roman"/>
          <w:sz w:val="24"/>
          <w:szCs w:val="24"/>
        </w:rPr>
        <w:t xml:space="preserve"> poderá sanar erros ou falhas, que não alterem a substância dos documentos e sua validade jurídica, mediante decisão fundamentada, registrada em ata e acessível a todos, atribuindo-lhes eﬁcácia para fins de habilitação e classificação.</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bookmarkStart w:id="32" w:name="_heading=h.1y810tw" w:colFirst="0" w:colLast="0"/>
      <w:bookmarkEnd w:id="32"/>
      <w:r>
        <w:rPr>
          <w:rFonts w:ascii="Times New Roman" w:eastAsia="Times New Roman" w:hAnsi="Times New Roman" w:cs="Times New Roman"/>
          <w:color w:val="000000"/>
          <w:sz w:val="24"/>
          <w:szCs w:val="24"/>
        </w:rPr>
        <w:t>Na hipótese de o lic</w:t>
      </w:r>
      <w:r>
        <w:rPr>
          <w:rFonts w:ascii="Times New Roman" w:eastAsia="Times New Roman" w:hAnsi="Times New Roman" w:cs="Times New Roman"/>
          <w:color w:val="000000"/>
          <w:sz w:val="24"/>
          <w:szCs w:val="24"/>
        </w:rPr>
        <w:t>itante não atender às exigências para habilitação, o pregoeiro examinará a proposta subsequente e assim sucessivamente, na ordem de classificação, até a apuração de uma proposta que atenda ao presente Edital, observado o prazo disposto no subitem 9.13.1.</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bookmarkStart w:id="33" w:name="_heading=h.4i7ojhp" w:colFirst="0" w:colLast="0"/>
      <w:bookmarkEnd w:id="33"/>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omente serão disponibilizados para acesso público os documentos de habilitação do licitante cuja proposta atenda ao Edital de licitação, após concluídos os procedimentos de que trata o subitem anterior.</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comprovação de regularidade fiscal e trabalhista da</w:t>
      </w:r>
      <w:r>
        <w:rPr>
          <w:rFonts w:ascii="Times New Roman" w:eastAsia="Times New Roman" w:hAnsi="Times New Roman" w:cs="Times New Roman"/>
          <w:color w:val="000000"/>
          <w:sz w:val="24"/>
          <w:szCs w:val="24"/>
        </w:rPr>
        <w:t>s microempresas e das empresas de pequeno porte somente será exigida para efeito de contratação, e não como condição para participação na licitação.</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Quando a fase de habilitação anteceder a de julgamento e já tiver sido encerrada, não caberá exclusão de li</w:t>
      </w:r>
      <w:r>
        <w:rPr>
          <w:rFonts w:ascii="Times New Roman" w:eastAsia="Times New Roman" w:hAnsi="Times New Roman" w:cs="Times New Roman"/>
          <w:color w:val="000000"/>
          <w:sz w:val="24"/>
          <w:szCs w:val="24"/>
        </w:rPr>
        <w:t>citante por motivo relacionado à habilitação, salvo em razão de fatos supervenientes ou só conhecidos após o julgamento.</w:t>
      </w: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color w:val="000000"/>
          <w:sz w:val="24"/>
          <w:szCs w:val="24"/>
        </w:rPr>
      </w:pPr>
    </w:p>
    <w:p w:rsidR="008C7EA8" w:rsidRDefault="007C04D2">
      <w:pPr>
        <w:numPr>
          <w:ilvl w:val="0"/>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0000"/>
          <w:sz w:val="24"/>
          <w:szCs w:val="24"/>
        </w:rPr>
      </w:pPr>
      <w:bookmarkStart w:id="34" w:name="_heading=h.ie30fjtpuedu" w:colFirst="0" w:colLast="0"/>
      <w:bookmarkEnd w:id="34"/>
      <w:r>
        <w:rPr>
          <w:rFonts w:ascii="Times New Roman" w:eastAsia="Times New Roman" w:hAnsi="Times New Roman" w:cs="Times New Roman"/>
          <w:b/>
          <w:color w:val="000000"/>
          <w:sz w:val="24"/>
          <w:szCs w:val="24"/>
        </w:rPr>
        <w:t>DO TERMO DE CONTRATO</w:t>
      </w: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color w:val="000000"/>
          <w:sz w:val="24"/>
          <w:szCs w:val="24"/>
        </w:rPr>
      </w:pP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Após a homologação e adjudicação, caso se conclua pela contratação, será firmado Termo de Contrato, ou outro instrumento equivalente.</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bookmarkStart w:id="35" w:name="_heading=h.2grqrue" w:colFirst="0" w:colLast="0"/>
      <w:bookmarkEnd w:id="35"/>
      <w:r>
        <w:rPr>
          <w:rFonts w:ascii="Times New Roman" w:eastAsia="Times New Roman" w:hAnsi="Times New Roman" w:cs="Times New Roman"/>
          <w:color w:val="000000"/>
          <w:sz w:val="24"/>
          <w:szCs w:val="24"/>
        </w:rPr>
        <w:t xml:space="preserve">O adjudicatário terá o prazo de </w:t>
      </w:r>
      <w:r>
        <w:rPr>
          <w:rFonts w:ascii="Times New Roman" w:eastAsia="Times New Roman" w:hAnsi="Times New Roman" w:cs="Times New Roman"/>
          <w:b/>
          <w:color w:val="00B0F0"/>
          <w:sz w:val="24"/>
          <w:szCs w:val="24"/>
        </w:rPr>
        <w:t>05 dias úteis</w:t>
      </w:r>
      <w:r>
        <w:rPr>
          <w:rFonts w:ascii="Times New Roman" w:eastAsia="Times New Roman" w:hAnsi="Times New Roman" w:cs="Times New Roman"/>
          <w:b/>
          <w:color w:val="00B0F0"/>
          <w:sz w:val="24"/>
          <w:szCs w:val="24"/>
          <w:vertAlign w:val="superscript"/>
        </w:rPr>
        <w:footnoteReference w:id="105"/>
      </w:r>
      <w:r>
        <w:rPr>
          <w:rFonts w:ascii="Times New Roman" w:eastAsia="Times New Roman" w:hAnsi="Times New Roman" w:cs="Times New Roman"/>
          <w:b/>
          <w:color w:val="00B0F0"/>
          <w:sz w:val="24"/>
          <w:szCs w:val="24"/>
        </w:rPr>
        <w:t>,</w:t>
      </w:r>
      <w:r>
        <w:rPr>
          <w:rFonts w:ascii="Times New Roman" w:eastAsia="Times New Roman" w:hAnsi="Times New Roman" w:cs="Times New Roman"/>
          <w:color w:val="000000"/>
          <w:sz w:val="24"/>
          <w:szCs w:val="24"/>
        </w:rPr>
        <w:t xml:space="preserve"> contados a partir da data de sua convocação, para assinar o Termo de Contr</w:t>
      </w:r>
      <w:r>
        <w:rPr>
          <w:rFonts w:ascii="Times New Roman" w:eastAsia="Times New Roman" w:hAnsi="Times New Roman" w:cs="Times New Roman"/>
          <w:color w:val="000000"/>
          <w:sz w:val="24"/>
          <w:szCs w:val="24"/>
        </w:rPr>
        <w:t>ato ou instrumento equivalente, sob pena de decair o direito à contratação, sem prejuízo das sanções previstas neste Edital.</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bookmarkStart w:id="36" w:name="_heading=h.vx1227" w:colFirst="0" w:colLast="0"/>
      <w:bookmarkEnd w:id="36"/>
      <w:r>
        <w:rPr>
          <w:rFonts w:ascii="Times New Roman" w:eastAsia="Times New Roman" w:hAnsi="Times New Roman" w:cs="Times New Roman"/>
          <w:color w:val="000000"/>
          <w:sz w:val="24"/>
          <w:szCs w:val="24"/>
        </w:rPr>
        <w:lastRenderedPageBreak/>
        <w:t>Alternativamente à convocação para comparecer perante o órgão ou entidade para a assinatura do Termo de Contrato ou instrumento equ</w:t>
      </w:r>
      <w:r>
        <w:rPr>
          <w:rFonts w:ascii="Times New Roman" w:eastAsia="Times New Roman" w:hAnsi="Times New Roman" w:cs="Times New Roman"/>
          <w:color w:val="000000"/>
          <w:sz w:val="24"/>
          <w:szCs w:val="24"/>
        </w:rPr>
        <w:t xml:space="preserve">ivalente, a Administração poderá: a) encaminhá-lo para assinatura, mediante correspondência postal com aviso de recebimento (AR), para que seja assinado e devolvido no prazo de </w:t>
      </w:r>
      <w:r>
        <w:rPr>
          <w:rFonts w:ascii="Times New Roman" w:eastAsia="Times New Roman" w:hAnsi="Times New Roman" w:cs="Times New Roman"/>
          <w:b/>
          <w:color w:val="00B0F0"/>
          <w:sz w:val="24"/>
          <w:szCs w:val="24"/>
        </w:rPr>
        <w:t>05 (cinco) dias úteis</w:t>
      </w:r>
      <w:r>
        <w:rPr>
          <w:rFonts w:ascii="Times New Roman" w:eastAsia="Times New Roman" w:hAnsi="Times New Roman" w:cs="Times New Roman"/>
          <w:b/>
          <w:color w:val="00B0F0"/>
          <w:sz w:val="24"/>
          <w:szCs w:val="24"/>
          <w:vertAlign w:val="superscript"/>
        </w:rPr>
        <w:footnoteReference w:id="106"/>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xml:space="preserve"> a contar da data de seu recebimento; b) disponibilizar </w:t>
      </w:r>
      <w:r>
        <w:rPr>
          <w:rFonts w:ascii="Times New Roman" w:eastAsia="Times New Roman" w:hAnsi="Times New Roman" w:cs="Times New Roman"/>
          <w:color w:val="000000"/>
          <w:sz w:val="24"/>
          <w:szCs w:val="24"/>
        </w:rPr>
        <w:t xml:space="preserve">acesso à sistema de processo eletrônico para que seja assinado digitalmente em até </w:t>
      </w:r>
      <w:r>
        <w:rPr>
          <w:rFonts w:ascii="Times New Roman" w:eastAsia="Times New Roman" w:hAnsi="Times New Roman" w:cs="Times New Roman"/>
          <w:b/>
          <w:color w:val="00B0F0"/>
          <w:sz w:val="24"/>
          <w:szCs w:val="24"/>
        </w:rPr>
        <w:t>05 (cinco) dias úteis</w:t>
      </w:r>
      <w:r>
        <w:rPr>
          <w:rFonts w:ascii="Times New Roman" w:eastAsia="Times New Roman" w:hAnsi="Times New Roman" w:cs="Times New Roman"/>
          <w:b/>
          <w:color w:val="00B0F0"/>
          <w:sz w:val="24"/>
          <w:szCs w:val="24"/>
          <w:vertAlign w:val="superscript"/>
        </w:rPr>
        <w:footnoteReference w:id="107"/>
      </w:r>
      <w:r>
        <w:rPr>
          <w:rFonts w:ascii="Times New Roman" w:eastAsia="Times New Roman" w:hAnsi="Times New Roman" w:cs="Times New Roman"/>
          <w:color w:val="000000"/>
          <w:sz w:val="24"/>
          <w:szCs w:val="24"/>
        </w:rPr>
        <w:t xml:space="preserve">; ou c) outro meio eletrônico, assegurado o prazo de </w:t>
      </w:r>
      <w:r>
        <w:rPr>
          <w:rFonts w:ascii="Times New Roman" w:eastAsia="Times New Roman" w:hAnsi="Times New Roman" w:cs="Times New Roman"/>
          <w:b/>
          <w:color w:val="00B0F0"/>
          <w:sz w:val="24"/>
          <w:szCs w:val="24"/>
        </w:rPr>
        <w:t>05 (cinco) dias úteis</w:t>
      </w:r>
      <w:r>
        <w:rPr>
          <w:rFonts w:ascii="Times New Roman" w:eastAsia="Times New Roman" w:hAnsi="Times New Roman" w:cs="Times New Roman"/>
          <w:b/>
          <w:color w:val="00B0F0"/>
          <w:sz w:val="24"/>
          <w:szCs w:val="24"/>
          <w:vertAlign w:val="superscript"/>
        </w:rPr>
        <w:footnoteReference w:id="108"/>
      </w:r>
      <w:r>
        <w:rPr>
          <w:rFonts w:ascii="Times New Roman" w:eastAsia="Times New Roman" w:hAnsi="Times New Roman" w:cs="Times New Roman"/>
          <w:color w:val="000000"/>
          <w:sz w:val="24"/>
          <w:szCs w:val="24"/>
        </w:rPr>
        <w:t xml:space="preserve"> para resposta após recebimento da notificação pela Administração.</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 Aceite da Nota de Empenho ou do instrumento equivalente, emitida ao fornecedor adjudicado, implica o reconhecimento de que:</w:t>
      </w:r>
    </w:p>
    <w:p w:rsidR="008C7EA8" w:rsidRDefault="007C04D2">
      <w:pPr>
        <w:numPr>
          <w:ilvl w:val="2"/>
          <w:numId w:val="4"/>
        </w:numPr>
        <w:pBdr>
          <w:top w:val="nil"/>
          <w:left w:val="nil"/>
          <w:bottom w:val="nil"/>
          <w:right w:val="nil"/>
          <w:between w:val="nil"/>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referida</w:t>
      </w:r>
      <w:proofErr w:type="gramEnd"/>
      <w:r>
        <w:rPr>
          <w:rFonts w:ascii="Times New Roman" w:eastAsia="Times New Roman" w:hAnsi="Times New Roman" w:cs="Times New Roman"/>
          <w:color w:val="000000"/>
          <w:sz w:val="24"/>
          <w:szCs w:val="24"/>
        </w:rPr>
        <w:t xml:space="preserve"> Nota está substituindo o Contrato, aplicando-se à relação de negócios ali estabelecida as disposições da Lei nº 14.133, de 2021;</w:t>
      </w:r>
    </w:p>
    <w:p w:rsidR="008C7EA8" w:rsidRDefault="007C04D2">
      <w:pPr>
        <w:numPr>
          <w:ilvl w:val="2"/>
          <w:numId w:val="4"/>
        </w:numPr>
        <w:pBdr>
          <w:top w:val="nil"/>
          <w:left w:val="nil"/>
          <w:bottom w:val="nil"/>
          <w:right w:val="nil"/>
          <w:between w:val="nil"/>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a</w:t>
      </w:r>
      <w:proofErr w:type="gramEnd"/>
      <w:r>
        <w:rPr>
          <w:rFonts w:ascii="Times New Roman" w:eastAsia="Times New Roman" w:hAnsi="Times New Roman" w:cs="Times New Roman"/>
          <w:color w:val="000000"/>
          <w:sz w:val="24"/>
          <w:szCs w:val="24"/>
        </w:rPr>
        <w:t xml:space="preserve"> Contratada se vincula à sua proposta e às previsões contidas neste Edital;</w:t>
      </w:r>
    </w:p>
    <w:p w:rsidR="008C7EA8" w:rsidRDefault="007C04D2">
      <w:pPr>
        <w:numPr>
          <w:ilvl w:val="2"/>
          <w:numId w:val="4"/>
        </w:numPr>
        <w:pBdr>
          <w:top w:val="nil"/>
          <w:left w:val="nil"/>
          <w:bottom w:val="nil"/>
          <w:right w:val="nil"/>
          <w:between w:val="nil"/>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a</w:t>
      </w:r>
      <w:proofErr w:type="gramEnd"/>
      <w:r>
        <w:rPr>
          <w:rFonts w:ascii="Times New Roman" w:eastAsia="Times New Roman" w:hAnsi="Times New Roman" w:cs="Times New Roman"/>
          <w:color w:val="000000"/>
          <w:sz w:val="24"/>
          <w:szCs w:val="24"/>
        </w:rPr>
        <w:t xml:space="preserve"> Contratada reconhece que as hipóteses d</w:t>
      </w:r>
      <w:r>
        <w:rPr>
          <w:rFonts w:ascii="Times New Roman" w:eastAsia="Times New Roman" w:hAnsi="Times New Roman" w:cs="Times New Roman"/>
          <w:color w:val="000000"/>
          <w:sz w:val="24"/>
          <w:szCs w:val="24"/>
        </w:rPr>
        <w:t>e rescisão são aquelas previstas nos artigos 137 e 138 da Lei nº 14.133, de 2021 e reconhece os direitos da Administração previstos nos artigos 137 a 139 da mesma Lei.</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Os prazos dos itens 10.2 e 10.3 poderão ser prorrogados, por igual período, por solicita</w:t>
      </w:r>
      <w:r>
        <w:rPr>
          <w:rFonts w:ascii="Times New Roman" w:eastAsia="Times New Roman" w:hAnsi="Times New Roman" w:cs="Times New Roman"/>
          <w:color w:val="000000"/>
          <w:sz w:val="24"/>
          <w:szCs w:val="24"/>
        </w:rPr>
        <w:t>ção justificada do adjudicatário e aceita pela Administração.</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 prazo de vigência da contratação é o estabelecido no Termo de Referência.</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 assinatura do Contrato ou instrumento equivalente será exigido o Cadastro Informativo de Créditos não Quitados do S</w:t>
      </w:r>
      <w:r>
        <w:rPr>
          <w:rFonts w:ascii="Times New Roman" w:eastAsia="Times New Roman" w:hAnsi="Times New Roman" w:cs="Times New Roman"/>
          <w:color w:val="000000"/>
          <w:sz w:val="24"/>
          <w:szCs w:val="24"/>
        </w:rPr>
        <w:t>etor Público Federal (Cadin) e a comprovação das condições de habilitação e contratação consignadas neste Edital, que deverão ser mantidas pelo fornecedor durante a vigência do Contrato.</w:t>
      </w:r>
    </w:p>
    <w:p w:rsidR="008C7EA8" w:rsidRDefault="007C04D2">
      <w:pPr>
        <w:numPr>
          <w:ilvl w:val="2"/>
          <w:numId w:val="4"/>
        </w:numPr>
        <w:pBdr>
          <w:top w:val="nil"/>
          <w:left w:val="nil"/>
          <w:bottom w:val="nil"/>
          <w:right w:val="nil"/>
          <w:between w:val="nil"/>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existência de registro no Cadin constitui fator impeditivo para a c</w:t>
      </w:r>
      <w:r>
        <w:rPr>
          <w:rFonts w:ascii="Times New Roman" w:eastAsia="Times New Roman" w:hAnsi="Times New Roman" w:cs="Times New Roman"/>
          <w:color w:val="000000"/>
          <w:sz w:val="24"/>
          <w:szCs w:val="24"/>
        </w:rPr>
        <w:t>ontratação.</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 xml:space="preserve">Na contratação de serviços com dedicação exclusiva de mão-de-obra, será exigida da empresa, como condição para assinatura do Contrato, a comprovação de capital </w:t>
      </w:r>
      <w:r>
        <w:rPr>
          <w:rFonts w:ascii="Times New Roman" w:eastAsia="Times New Roman" w:hAnsi="Times New Roman" w:cs="Times New Roman"/>
          <w:strike/>
          <w:color w:val="000000"/>
          <w:sz w:val="24"/>
          <w:szCs w:val="24"/>
        </w:rPr>
        <w:lastRenderedPageBreak/>
        <w:t>social integralizado compatível com o número de empregados, na forma do art. 4º-B da</w:t>
      </w:r>
      <w:r>
        <w:rPr>
          <w:rFonts w:ascii="Times New Roman" w:eastAsia="Times New Roman" w:hAnsi="Times New Roman" w:cs="Times New Roman"/>
          <w:strike/>
          <w:color w:val="000000"/>
          <w:sz w:val="24"/>
          <w:szCs w:val="24"/>
        </w:rPr>
        <w:t xml:space="preserve"> Lei nº 6.019/1974.</w:t>
      </w:r>
      <w:r>
        <w:rPr>
          <w:rFonts w:ascii="Times New Roman" w:eastAsia="Times New Roman" w:hAnsi="Times New Roman" w:cs="Times New Roman"/>
          <w:strike/>
          <w:color w:val="000000"/>
          <w:sz w:val="24"/>
          <w:szCs w:val="24"/>
          <w:vertAlign w:val="superscript"/>
        </w:rPr>
        <w:footnoteReference w:id="109"/>
      </w:r>
    </w:p>
    <w:p w:rsidR="008C7EA8" w:rsidRDefault="007C04D2">
      <w:pPr>
        <w:numPr>
          <w:ilvl w:val="2"/>
          <w:numId w:val="4"/>
        </w:numPr>
        <w:pBdr>
          <w:top w:val="nil"/>
          <w:left w:val="nil"/>
          <w:bottom w:val="nil"/>
          <w:right w:val="nil"/>
          <w:between w:val="nil"/>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trike/>
          <w:color w:val="000000"/>
          <w:sz w:val="24"/>
          <w:szCs w:val="24"/>
        </w:rPr>
        <w:t>Caso se trate da contratação de serviços de vigilância ou transporte de valores com dedicação exclusiva de mão de obra, a empresa deverá comprovar, como condição para assinatura do contrato, que possui capital social mínimo integraliza</w:t>
      </w:r>
      <w:r>
        <w:rPr>
          <w:rFonts w:ascii="Times New Roman" w:eastAsia="Times New Roman" w:hAnsi="Times New Roman" w:cs="Times New Roman"/>
          <w:strike/>
          <w:color w:val="000000"/>
          <w:sz w:val="24"/>
          <w:szCs w:val="24"/>
        </w:rPr>
        <w:t>do de acordo com os valores estipulados no art. 14 da Lei nº 14.967/2024.</w:t>
      </w:r>
      <w:r>
        <w:rPr>
          <w:rFonts w:ascii="Times New Roman" w:eastAsia="Times New Roman" w:hAnsi="Times New Roman" w:cs="Times New Roman"/>
          <w:strike/>
          <w:color w:val="000000"/>
          <w:sz w:val="24"/>
          <w:szCs w:val="24"/>
          <w:vertAlign w:val="superscript"/>
        </w:rPr>
        <w:footnoteReference w:id="110"/>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bookmarkStart w:id="37" w:name="_heading=h.3sbgwhz5qxlp" w:colFirst="0" w:colLast="0"/>
      <w:bookmarkEnd w:id="37"/>
      <w:r>
        <w:rPr>
          <w:rFonts w:ascii="Times New Roman" w:eastAsia="Times New Roman" w:hAnsi="Times New Roman" w:cs="Times New Roman"/>
          <w:strike/>
          <w:color w:val="000000"/>
          <w:sz w:val="24"/>
          <w:szCs w:val="24"/>
        </w:rPr>
        <w:t>Nas contratações de obras, serviços e fornecimentos de grande vulto, o licitante vencedor deverá apresentar programa de integridade, no prazo de 06 (seis) meses, contado da celebraç</w:t>
      </w:r>
      <w:r>
        <w:rPr>
          <w:rFonts w:ascii="Times New Roman" w:eastAsia="Times New Roman" w:hAnsi="Times New Roman" w:cs="Times New Roman"/>
          <w:strike/>
          <w:color w:val="000000"/>
          <w:sz w:val="24"/>
          <w:szCs w:val="24"/>
        </w:rPr>
        <w:t>ão do Contrato, conforme Decreto nº 12.304, de 9 de dezembro de 2024.</w:t>
      </w:r>
      <w:r>
        <w:rPr>
          <w:rFonts w:ascii="Times New Roman" w:eastAsia="Times New Roman" w:hAnsi="Times New Roman" w:cs="Times New Roman"/>
          <w:strike/>
          <w:color w:val="000000"/>
          <w:sz w:val="24"/>
          <w:szCs w:val="24"/>
          <w:vertAlign w:val="superscript"/>
        </w:rPr>
        <w:footnoteReference w:id="111"/>
      </w:r>
    </w:p>
    <w:p w:rsidR="008C7EA8" w:rsidRDefault="008C7EA8">
      <w:pPr>
        <w:tabs>
          <w:tab w:val="left" w:pos="1418"/>
        </w:tabs>
        <w:spacing w:line="360" w:lineRule="auto"/>
        <w:rPr>
          <w:rFonts w:ascii="Times New Roman" w:eastAsia="Times New Roman" w:hAnsi="Times New Roman" w:cs="Times New Roman"/>
          <w:sz w:val="24"/>
          <w:szCs w:val="24"/>
        </w:rPr>
      </w:pPr>
    </w:p>
    <w:p w:rsidR="008C7EA8" w:rsidRDefault="007C04D2">
      <w:pPr>
        <w:numPr>
          <w:ilvl w:val="0"/>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DA ATA DE REGISTRO DE PREÇOS</w:t>
      </w: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color w:val="000000"/>
          <w:sz w:val="24"/>
          <w:szCs w:val="24"/>
        </w:rPr>
      </w:pP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Homologado o resultado da licitação, o licitante mais bem classificado terá o prazo de 05 (cinco) dias, contados a partir da data de sua convocação, para assinar a Ata de Registro de Preços, cujo prazo de validade encontra-se nela fixado, sob pena de decad</w:t>
      </w:r>
      <w:r>
        <w:rPr>
          <w:rFonts w:ascii="Times New Roman" w:eastAsia="Times New Roman" w:hAnsi="Times New Roman" w:cs="Times New Roman"/>
          <w:color w:val="000000"/>
          <w:sz w:val="24"/>
          <w:szCs w:val="24"/>
        </w:rPr>
        <w:t>ência do direito à contratação, sem prejuízo das sanções previstas na Lei nº 14.133, de 2021.</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 prazo de convocação poderá ser prorrogado uma vez, por igual período, mediante solicitação do licitante mais bem classificado ou do fornecedor convocado, desde </w:t>
      </w:r>
      <w:r>
        <w:rPr>
          <w:rFonts w:ascii="Times New Roman" w:eastAsia="Times New Roman" w:hAnsi="Times New Roman" w:cs="Times New Roman"/>
          <w:color w:val="000000"/>
          <w:sz w:val="24"/>
          <w:szCs w:val="24"/>
        </w:rPr>
        <w:t>que:</w:t>
      </w:r>
    </w:p>
    <w:p w:rsidR="008C7EA8" w:rsidRDefault="007C04D2">
      <w:pPr>
        <w:pBdr>
          <w:top w:val="nil"/>
          <w:left w:val="nil"/>
          <w:bottom w:val="nil"/>
          <w:right w:val="nil"/>
          <w:between w:val="nil"/>
        </w:pBdr>
        <w:tabs>
          <w:tab w:val="left" w:pos="1418"/>
        </w:tabs>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11.2.1</w:t>
      </w:r>
      <w:r>
        <w:rPr>
          <w:rFonts w:ascii="Times New Roman" w:eastAsia="Times New Roman" w:hAnsi="Times New Roman" w:cs="Times New Roman"/>
          <w:color w:val="000000"/>
          <w:sz w:val="24"/>
          <w:szCs w:val="24"/>
        </w:rPr>
        <w:tab/>
        <w:t>a solicitação seja devidamente justificada e apresentada dentro do prazo; e</w:t>
      </w:r>
    </w:p>
    <w:p w:rsidR="008C7EA8" w:rsidRDefault="007C04D2">
      <w:pPr>
        <w:pBdr>
          <w:top w:val="nil"/>
          <w:left w:val="nil"/>
          <w:bottom w:val="nil"/>
          <w:right w:val="nil"/>
          <w:between w:val="nil"/>
        </w:pBdr>
        <w:tabs>
          <w:tab w:val="left" w:pos="1418"/>
        </w:tabs>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11.2.2</w:t>
      </w:r>
      <w:r>
        <w:rPr>
          <w:rFonts w:ascii="Times New Roman" w:eastAsia="Times New Roman" w:hAnsi="Times New Roman" w:cs="Times New Roman"/>
          <w:color w:val="000000"/>
          <w:sz w:val="24"/>
          <w:szCs w:val="24"/>
        </w:rPr>
        <w:tab/>
        <w:t>a justificativa apresentada seja aceita pela Administração.</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ata de registro de preços será assinada por meio de assinatura digital e disponibilizada no sistema de registro de preços.</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Serão formalizadas tantas Atas de Registro de Preços quantas forem necessárias para o registro de todos os itens constantes no Term</w:t>
      </w:r>
      <w:r>
        <w:rPr>
          <w:rFonts w:ascii="Times New Roman" w:eastAsia="Times New Roman" w:hAnsi="Times New Roman" w:cs="Times New Roman"/>
          <w:color w:val="000000"/>
          <w:sz w:val="24"/>
          <w:szCs w:val="24"/>
        </w:rPr>
        <w:t xml:space="preserve">o de Referência, com a </w:t>
      </w:r>
      <w:r>
        <w:rPr>
          <w:rFonts w:ascii="Times New Roman" w:eastAsia="Times New Roman" w:hAnsi="Times New Roman" w:cs="Times New Roman"/>
          <w:color w:val="000000"/>
          <w:sz w:val="24"/>
          <w:szCs w:val="24"/>
        </w:rPr>
        <w:lastRenderedPageBreak/>
        <w:t xml:space="preserve">indicação do licitante vencedor, a descrição </w:t>
      </w:r>
      <w:proofErr w:type="gramStart"/>
      <w:r>
        <w:rPr>
          <w:rFonts w:ascii="Times New Roman" w:eastAsia="Times New Roman" w:hAnsi="Times New Roman" w:cs="Times New Roman"/>
          <w:color w:val="000000"/>
          <w:sz w:val="24"/>
          <w:szCs w:val="24"/>
        </w:rPr>
        <w:t>do(</w:t>
      </w:r>
      <w:proofErr w:type="gramEnd"/>
      <w:r>
        <w:rPr>
          <w:rFonts w:ascii="Times New Roman" w:eastAsia="Times New Roman" w:hAnsi="Times New Roman" w:cs="Times New Roman"/>
          <w:color w:val="000000"/>
          <w:sz w:val="24"/>
          <w:szCs w:val="24"/>
        </w:rPr>
        <w:t>s) item(</w:t>
      </w:r>
      <w:proofErr w:type="spellStart"/>
      <w:r>
        <w:rPr>
          <w:rFonts w:ascii="Times New Roman" w:eastAsia="Times New Roman" w:hAnsi="Times New Roman" w:cs="Times New Roman"/>
          <w:color w:val="000000"/>
          <w:sz w:val="24"/>
          <w:szCs w:val="24"/>
        </w:rPr>
        <w:t>ns</w:t>
      </w:r>
      <w:proofErr w:type="spellEnd"/>
      <w:r>
        <w:rPr>
          <w:rFonts w:ascii="Times New Roman" w:eastAsia="Times New Roman" w:hAnsi="Times New Roman" w:cs="Times New Roman"/>
          <w:color w:val="000000"/>
          <w:sz w:val="24"/>
          <w:szCs w:val="24"/>
        </w:rPr>
        <w:t>), as respectivas quantidades, preços registrados e demais condições.</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 preço registrado, com a indicação dos fornecedores, será divulgado no PNCP e disponibilizado durante a </w:t>
      </w:r>
      <w:r>
        <w:rPr>
          <w:rFonts w:ascii="Times New Roman" w:eastAsia="Times New Roman" w:hAnsi="Times New Roman" w:cs="Times New Roman"/>
          <w:color w:val="000000"/>
          <w:sz w:val="24"/>
          <w:szCs w:val="24"/>
        </w:rPr>
        <w:t>vigência da ata de registro de preços.</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existência de preços registrados implicará compromisso de fornecimento nas condições estabelecidas, mas não obrigará a Administração a contratar, facultada a realização de licitação específica para a aquisição prete</w:t>
      </w:r>
      <w:r>
        <w:rPr>
          <w:rFonts w:ascii="Times New Roman" w:eastAsia="Times New Roman" w:hAnsi="Times New Roman" w:cs="Times New Roman"/>
          <w:color w:val="000000"/>
          <w:sz w:val="24"/>
          <w:szCs w:val="24"/>
        </w:rPr>
        <w:t>ndida, desde que devidamente justificada.</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 hipótese de o convocado não assinar a ata de registro de preços no prazo e nas condições estabelecidas, fica facultado à Administração convocar os licitantes remanescentes do cadastro de reserva, na ordem de cla</w:t>
      </w:r>
      <w:r>
        <w:rPr>
          <w:rFonts w:ascii="Times New Roman" w:eastAsia="Times New Roman" w:hAnsi="Times New Roman" w:cs="Times New Roman"/>
          <w:color w:val="000000"/>
          <w:sz w:val="24"/>
          <w:szCs w:val="24"/>
        </w:rPr>
        <w:t>ssificação, para fazê-lo em igual prazo e nas condições propostas pelo primeiro classificado.</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sz w:val="24"/>
          <w:szCs w:val="24"/>
        </w:rPr>
        <w:t>O prazo de vigência da ata de registro de preços será de 01 (um) ano e poderá ser prorrogado, por igual período, desde que comprovado o preço vantajoso.</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Em caso de prorrogação da ata, não poderá ser renovado o quantitativo originalmente registrado.</w:t>
      </w: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strike/>
          <w:color w:val="000000"/>
          <w:sz w:val="24"/>
          <w:szCs w:val="24"/>
        </w:rPr>
      </w:pPr>
    </w:p>
    <w:p w:rsidR="008C7EA8" w:rsidRDefault="007C04D2">
      <w:pPr>
        <w:numPr>
          <w:ilvl w:val="0"/>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DA FORMAÇÃO DO CADASTRO DE RESERVA</w:t>
      </w: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strike/>
          <w:color w:val="000000"/>
          <w:sz w:val="24"/>
          <w:szCs w:val="24"/>
        </w:rPr>
      </w:pP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Após a homologação da licitação, será incluído na ata, na forma de anexo, o registro:</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z w:val="24"/>
          <w:szCs w:val="24"/>
        </w:rPr>
      </w:pPr>
      <w:bookmarkStart w:id="38" w:name="_heading=h.ihv636" w:colFirst="0" w:colLast="0"/>
      <w:bookmarkEnd w:id="38"/>
      <w:proofErr w:type="gramStart"/>
      <w:r>
        <w:rPr>
          <w:rFonts w:ascii="Times New Roman" w:eastAsia="Times New Roman" w:hAnsi="Times New Roman" w:cs="Times New Roman"/>
          <w:color w:val="000000"/>
          <w:sz w:val="24"/>
          <w:szCs w:val="24"/>
        </w:rPr>
        <w:t>dos</w:t>
      </w:r>
      <w:proofErr w:type="gramEnd"/>
      <w:r>
        <w:rPr>
          <w:rFonts w:ascii="Times New Roman" w:eastAsia="Times New Roman" w:hAnsi="Times New Roman" w:cs="Times New Roman"/>
          <w:color w:val="000000"/>
          <w:sz w:val="24"/>
          <w:szCs w:val="24"/>
        </w:rPr>
        <w:t xml:space="preserve"> licitantes que aceitarem cotar o objeto com preço igual ao do adjudicatário, observada a classificação na </w:t>
      </w:r>
      <w:r>
        <w:rPr>
          <w:rFonts w:ascii="Times New Roman" w:eastAsia="Times New Roman" w:hAnsi="Times New Roman" w:cs="Times New Roman"/>
          <w:sz w:val="24"/>
          <w:szCs w:val="24"/>
        </w:rPr>
        <w:t>licitação e excluído o percentual referente à margem de preferência, quando o objeto não atender aos requisitos previstos no art. 26 da Lei nº 14.</w:t>
      </w:r>
      <w:r>
        <w:rPr>
          <w:rFonts w:ascii="Times New Roman" w:eastAsia="Times New Roman" w:hAnsi="Times New Roman" w:cs="Times New Roman"/>
          <w:sz w:val="24"/>
          <w:szCs w:val="24"/>
        </w:rPr>
        <w:t>133, de 2021; e</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dos</w:t>
      </w:r>
      <w:proofErr w:type="gramEnd"/>
      <w:r>
        <w:rPr>
          <w:rFonts w:ascii="Times New Roman" w:eastAsia="Times New Roman" w:hAnsi="Times New Roman" w:cs="Times New Roman"/>
          <w:color w:val="000000"/>
          <w:sz w:val="24"/>
          <w:szCs w:val="24"/>
        </w:rPr>
        <w:t xml:space="preserve"> licitantes que mantiverem sua proposta original.</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Será respeitada, nas contratações, a ordem de classificação dos licitantes ou fornecedores registrados na ata.</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apresentação de novas propostas na forma deste item não prejudicará o resu</w:t>
      </w:r>
      <w:r>
        <w:rPr>
          <w:rFonts w:ascii="Times New Roman" w:eastAsia="Times New Roman" w:hAnsi="Times New Roman" w:cs="Times New Roman"/>
          <w:color w:val="000000"/>
          <w:sz w:val="24"/>
          <w:szCs w:val="24"/>
        </w:rPr>
        <w:t>ltado do certame em relação ao licitante mais bem classificado.</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Para fins da ordem de classificação, os licitantes ou fornecedores que aceitarem cotar o objeto com preço igual ao do adjudicatário antecederão aqueles que mantiverem sua proposta original.</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A </w:t>
      </w:r>
      <w:r>
        <w:rPr>
          <w:rFonts w:ascii="Times New Roman" w:eastAsia="Times New Roman" w:hAnsi="Times New Roman" w:cs="Times New Roman"/>
          <w:color w:val="000000"/>
          <w:sz w:val="24"/>
          <w:szCs w:val="24"/>
        </w:rPr>
        <w:t>habilitação dos licitantes que comporão o cadastro de reserva será efetuada quando houver necessidade de contratação dos licitantes remanescentes, nas seguintes hipóteses:</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quando</w:t>
      </w:r>
      <w:proofErr w:type="gramEnd"/>
      <w:r>
        <w:rPr>
          <w:rFonts w:ascii="Times New Roman" w:eastAsia="Times New Roman" w:hAnsi="Times New Roman" w:cs="Times New Roman"/>
          <w:color w:val="000000"/>
          <w:sz w:val="24"/>
          <w:szCs w:val="24"/>
        </w:rPr>
        <w:t xml:space="preserve"> o licitante vencedor não assinar a ata de registro de preços no prazo e nas c</w:t>
      </w:r>
      <w:r>
        <w:rPr>
          <w:rFonts w:ascii="Times New Roman" w:eastAsia="Times New Roman" w:hAnsi="Times New Roman" w:cs="Times New Roman"/>
          <w:color w:val="000000"/>
          <w:sz w:val="24"/>
          <w:szCs w:val="24"/>
        </w:rPr>
        <w:t>ondições estabelecidos no Edital; ou</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quando</w:t>
      </w:r>
      <w:proofErr w:type="gramEnd"/>
      <w:r>
        <w:rPr>
          <w:rFonts w:ascii="Times New Roman" w:eastAsia="Times New Roman" w:hAnsi="Times New Roman" w:cs="Times New Roman"/>
          <w:color w:val="000000"/>
          <w:sz w:val="24"/>
          <w:szCs w:val="24"/>
        </w:rPr>
        <w:t xml:space="preserve"> houver o cancelamento do registro do fornecedor ou do registro de preços, nas hipóteses previstas nos art. 28 e art. 29 do Decreto nº 11.462/23.</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 hipótese de nenhum dos licitantes que aceitaram cotar o objeto c</w:t>
      </w:r>
      <w:r>
        <w:rPr>
          <w:rFonts w:ascii="Times New Roman" w:eastAsia="Times New Roman" w:hAnsi="Times New Roman" w:cs="Times New Roman"/>
          <w:color w:val="000000"/>
          <w:sz w:val="24"/>
          <w:szCs w:val="24"/>
        </w:rPr>
        <w:t>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convocar</w:t>
      </w:r>
      <w:proofErr w:type="gramEnd"/>
      <w:r>
        <w:rPr>
          <w:rFonts w:ascii="Times New Roman" w:eastAsia="Times New Roman" w:hAnsi="Times New Roman" w:cs="Times New Roman"/>
          <w:color w:val="000000"/>
          <w:sz w:val="24"/>
          <w:szCs w:val="24"/>
        </w:rPr>
        <w:t xml:space="preserve"> os licitantes que mantiveram sua proposta original para negociação, na ordem de classificação, com vistas à obtenção de preço melhor, mesmo que acima do preço do adjudicatário; ou</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adjudicar</w:t>
      </w:r>
      <w:proofErr w:type="gramEnd"/>
      <w:r>
        <w:rPr>
          <w:rFonts w:ascii="Times New Roman" w:eastAsia="Times New Roman" w:hAnsi="Times New Roman" w:cs="Times New Roman"/>
          <w:color w:val="000000"/>
          <w:sz w:val="24"/>
          <w:szCs w:val="24"/>
        </w:rPr>
        <w:t xml:space="preserve"> e firmar o Contrato nas condições ofertadas pelos licitan</w:t>
      </w:r>
      <w:r>
        <w:rPr>
          <w:rFonts w:ascii="Times New Roman" w:eastAsia="Times New Roman" w:hAnsi="Times New Roman" w:cs="Times New Roman"/>
          <w:color w:val="000000"/>
          <w:sz w:val="24"/>
          <w:szCs w:val="24"/>
        </w:rPr>
        <w:t>tes remanescentes, observada a ordem de classificação, quando frustrada a negociação de melhor condição.</w:t>
      </w: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color w:val="000000"/>
          <w:sz w:val="24"/>
          <w:szCs w:val="24"/>
        </w:rPr>
      </w:pPr>
    </w:p>
    <w:p w:rsidR="008C7EA8" w:rsidRDefault="007C04D2">
      <w:pPr>
        <w:numPr>
          <w:ilvl w:val="0"/>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DOS RECURSOS</w:t>
      </w:r>
    </w:p>
    <w:p w:rsidR="008C7EA8" w:rsidRDefault="008C7EA8">
      <w:pPr>
        <w:tabs>
          <w:tab w:val="left" w:pos="1418"/>
        </w:tabs>
        <w:spacing w:line="360" w:lineRule="auto"/>
        <w:jc w:val="both"/>
        <w:rPr>
          <w:rFonts w:ascii="Times New Roman" w:eastAsia="Times New Roman" w:hAnsi="Times New Roman" w:cs="Times New Roman"/>
          <w:sz w:val="24"/>
          <w:szCs w:val="24"/>
        </w:rPr>
      </w:pP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interposição de recurso referente ao julgamento das propostas, à habilitação ou inabilitação de licitantes, à anulação ou revogação da licitação, observará o disposto no </w:t>
      </w:r>
      <w:hyperlink r:id="rId35" w:anchor="art165">
        <w:r>
          <w:rPr>
            <w:rFonts w:ascii="Times New Roman" w:eastAsia="Times New Roman" w:hAnsi="Times New Roman" w:cs="Times New Roman"/>
            <w:color w:val="000000"/>
            <w:sz w:val="24"/>
            <w:szCs w:val="24"/>
          </w:rPr>
          <w:t>art. 165 da Lei nº 14.133, de 2021</w:t>
        </w:r>
      </w:hyperlink>
      <w:r>
        <w:rPr>
          <w:rFonts w:ascii="Times New Roman" w:eastAsia="Times New Roman" w:hAnsi="Times New Roman" w:cs="Times New Roman"/>
          <w:color w:val="000000"/>
          <w:sz w:val="24"/>
          <w:szCs w:val="24"/>
        </w:rPr>
        <w:t>.</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 prazo recursal é de 03 (três) dias úteis, contados da data de intimação ou de lavratura da ata.</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Quando o recurso apresentado impugnar o julgamento das propostas ou o ato de habilitação ou inabilitação</w:t>
      </w:r>
      <w:r>
        <w:rPr>
          <w:rFonts w:ascii="Times New Roman" w:eastAsia="Times New Roman" w:hAnsi="Times New Roman" w:cs="Times New Roman"/>
          <w:color w:val="000000"/>
          <w:sz w:val="24"/>
          <w:szCs w:val="24"/>
        </w:rPr>
        <w:t xml:space="preserve"> do licitante:</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a</w:t>
      </w:r>
      <w:proofErr w:type="gramEnd"/>
      <w:r>
        <w:rPr>
          <w:rFonts w:ascii="Times New Roman" w:eastAsia="Times New Roman" w:hAnsi="Times New Roman" w:cs="Times New Roman"/>
          <w:color w:val="000000"/>
          <w:sz w:val="24"/>
          <w:szCs w:val="24"/>
        </w:rPr>
        <w:t xml:space="preserve"> intenção de recorrer deverá ser manifestada imediatamente, sob pena de preclusão;</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bookmarkStart w:id="39" w:name="_heading=h.32hioqz" w:colFirst="0" w:colLast="0"/>
      <w:bookmarkEnd w:id="39"/>
      <w:proofErr w:type="gramStart"/>
      <w:r>
        <w:rPr>
          <w:rFonts w:ascii="Times New Roman" w:eastAsia="Times New Roman" w:hAnsi="Times New Roman" w:cs="Times New Roman"/>
          <w:color w:val="000000"/>
          <w:sz w:val="24"/>
          <w:szCs w:val="24"/>
        </w:rPr>
        <w:t>o</w:t>
      </w:r>
      <w:proofErr w:type="gramEnd"/>
      <w:r>
        <w:rPr>
          <w:rFonts w:ascii="Times New Roman" w:eastAsia="Times New Roman" w:hAnsi="Times New Roman" w:cs="Times New Roman"/>
          <w:color w:val="000000"/>
          <w:sz w:val="24"/>
          <w:szCs w:val="24"/>
        </w:rPr>
        <w:t xml:space="preserve"> prazo para a manifestação da intenção de recorrer não será inferior a 10 (dez) minutos;</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o</w:t>
      </w:r>
      <w:proofErr w:type="gramEnd"/>
      <w:r>
        <w:rPr>
          <w:rFonts w:ascii="Times New Roman" w:eastAsia="Times New Roman" w:hAnsi="Times New Roman" w:cs="Times New Roman"/>
          <w:color w:val="000000"/>
          <w:sz w:val="24"/>
          <w:szCs w:val="24"/>
        </w:rPr>
        <w:t xml:space="preserve"> prazo para apresentação das razões recursais será iniciado na data de intimação ou de lavratura da ata de habilitação ou inabilitação;</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na hipótese de adoção da inversão de fases prevista no </w:t>
      </w:r>
      <w:hyperlink r:id="rId36" w:anchor="art17%C2%A71">
        <w:r>
          <w:rPr>
            <w:rFonts w:ascii="Times New Roman" w:eastAsia="Times New Roman" w:hAnsi="Times New Roman" w:cs="Times New Roman"/>
            <w:sz w:val="24"/>
            <w:szCs w:val="24"/>
          </w:rPr>
          <w:t>§ 1º do art. 17 da Lei nº 14.133, de 2021</w:t>
        </w:r>
      </w:hyperlink>
      <w:r>
        <w:rPr>
          <w:rFonts w:ascii="Times New Roman" w:eastAsia="Times New Roman" w:hAnsi="Times New Roman" w:cs="Times New Roman"/>
          <w:color w:val="000000"/>
          <w:sz w:val="24"/>
          <w:szCs w:val="24"/>
        </w:rPr>
        <w:t>, o prazo para apresentação das razões recursais será iniciado na data de intimação da ata de julgamento.</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Os recursos deverão ser encaminhados em campo próprio do sistema.</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 recurso será dirigido à autoridade que tiver editado o ato ou proferido a decisão recorrida, a qual poderá reconsiderar sua decisão no prazo de 03 (três) dias úteis, ou, nesse mesmo prazo, encaminhar recurso para a autoridade superior, a qual deverá pro</w:t>
      </w:r>
      <w:r>
        <w:rPr>
          <w:rFonts w:ascii="Times New Roman" w:eastAsia="Times New Roman" w:hAnsi="Times New Roman" w:cs="Times New Roman"/>
          <w:color w:val="000000"/>
          <w:sz w:val="24"/>
          <w:szCs w:val="24"/>
        </w:rPr>
        <w:t>ferir sua decisão no prazo de 10 (dez) dias úteis, contado do recebimento dos autos.</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Os recursos interpostos fora do prazo não serão conhecidos.</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 prazo para apresentação de contrarrazões ao recurso pelos demais licitantes será de 03 (três) dias úteis, con</w:t>
      </w:r>
      <w:r>
        <w:rPr>
          <w:rFonts w:ascii="Times New Roman" w:eastAsia="Times New Roman" w:hAnsi="Times New Roman" w:cs="Times New Roman"/>
          <w:color w:val="000000"/>
          <w:sz w:val="24"/>
          <w:szCs w:val="24"/>
        </w:rPr>
        <w:t>tados da data da intimação pessoal ou da divulgação da interposição do recurso, assegurada a vista imediata dos elementos indispensáveis à defesa de seus interesses.</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 recurso e o pedido de reconsideração terão efeito suspensivo do ato ou da decisão recorr</w:t>
      </w:r>
      <w:r>
        <w:rPr>
          <w:rFonts w:ascii="Times New Roman" w:eastAsia="Times New Roman" w:hAnsi="Times New Roman" w:cs="Times New Roman"/>
          <w:color w:val="000000"/>
          <w:sz w:val="24"/>
          <w:szCs w:val="24"/>
        </w:rPr>
        <w:t>ida até que sobrevenha decisão final da autoridade competente.</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 acolhimento do recurso invalida tão somente os atos insuscetíveis de aproveitamento.</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B050"/>
          <w:sz w:val="24"/>
          <w:szCs w:val="24"/>
        </w:rPr>
      </w:pPr>
      <w:r>
        <w:rPr>
          <w:rFonts w:ascii="Times New Roman" w:eastAsia="Times New Roman" w:hAnsi="Times New Roman" w:cs="Times New Roman"/>
          <w:b/>
          <w:color w:val="00B050"/>
          <w:sz w:val="24"/>
          <w:szCs w:val="24"/>
        </w:rPr>
        <w:t xml:space="preserve">Os autos do processo permanecerão com vista franqueada aos interessados no sítio eletrônico </w:t>
      </w:r>
      <w:hyperlink r:id="rId37" w:history="1">
        <w:r w:rsidR="0039755F" w:rsidRPr="0039755F">
          <w:rPr>
            <w:rStyle w:val="Hyperlink"/>
            <w:rFonts w:ascii="Times New Roman" w:eastAsia="Times New Roman" w:hAnsi="Times New Roman" w:cs="Times New Roman"/>
            <w:b/>
            <w:i/>
            <w:color w:val="00B050"/>
            <w:sz w:val="24"/>
            <w:szCs w:val="24"/>
          </w:rPr>
          <w:t>https://www.ufpb.br/sof/servicos/contratacoes-em-andamento/</w:t>
        </w:r>
      </w:hyperlink>
      <w:r w:rsidR="0039755F" w:rsidRPr="0039755F">
        <w:rPr>
          <w:rFonts w:ascii="Times New Roman" w:eastAsia="Times New Roman" w:hAnsi="Times New Roman" w:cs="Times New Roman"/>
          <w:b/>
          <w:color w:val="00B050"/>
          <w:sz w:val="24"/>
          <w:szCs w:val="24"/>
        </w:rPr>
        <w:t xml:space="preserve">, </w:t>
      </w:r>
      <w:r>
        <w:rPr>
          <w:rFonts w:ascii="Times New Roman" w:eastAsia="Times New Roman" w:hAnsi="Times New Roman" w:cs="Times New Roman"/>
          <w:b/>
          <w:color w:val="00B050"/>
          <w:sz w:val="24"/>
          <w:szCs w:val="24"/>
        </w:rPr>
        <w:t>sem prejuízo da possibilidade de acesso ao inteiro teor do processo eletrônico de contratação na página</w:t>
      </w:r>
      <w:hyperlink r:id="rId38">
        <w:r>
          <w:rPr>
            <w:rFonts w:ascii="Times New Roman" w:eastAsia="Times New Roman" w:hAnsi="Times New Roman" w:cs="Times New Roman"/>
            <w:b/>
            <w:color w:val="00B050"/>
            <w:sz w:val="24"/>
            <w:szCs w:val="24"/>
          </w:rPr>
          <w:t xml:space="preserve"> </w:t>
        </w:r>
      </w:hyperlink>
      <w:hyperlink r:id="rId39">
        <w:r>
          <w:rPr>
            <w:rFonts w:ascii="Times New Roman" w:eastAsia="Times New Roman" w:hAnsi="Times New Roman" w:cs="Times New Roman"/>
            <w:b/>
            <w:i/>
            <w:color w:val="00B050"/>
            <w:sz w:val="24"/>
            <w:szCs w:val="24"/>
            <w:u w:val="single"/>
          </w:rPr>
          <w:t>https://sipac.ufpb.br/public/jsp/portal.jsf</w:t>
        </w:r>
      </w:hyperlink>
      <w:r>
        <w:rPr>
          <w:rFonts w:ascii="Times New Roman" w:eastAsia="Times New Roman" w:hAnsi="Times New Roman" w:cs="Times New Roman"/>
          <w:b/>
          <w:color w:val="00B050"/>
          <w:sz w:val="24"/>
          <w:szCs w:val="24"/>
        </w:rPr>
        <w:t>, mediante consulta ao NUP que consta no preâmbulo deste Edital.</w:t>
      </w:r>
      <w:r>
        <w:rPr>
          <w:rFonts w:ascii="Times New Roman" w:eastAsia="Times New Roman" w:hAnsi="Times New Roman" w:cs="Times New Roman"/>
          <w:b/>
          <w:color w:val="00B050"/>
          <w:sz w:val="24"/>
          <w:szCs w:val="24"/>
          <w:vertAlign w:val="superscript"/>
        </w:rPr>
        <w:footnoteReference w:id="112"/>
      </w: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color w:val="000000"/>
          <w:sz w:val="24"/>
          <w:szCs w:val="24"/>
        </w:rPr>
      </w:pPr>
    </w:p>
    <w:p w:rsidR="008C7EA8" w:rsidRDefault="007C04D2">
      <w:pPr>
        <w:numPr>
          <w:ilvl w:val="0"/>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0000"/>
          <w:sz w:val="24"/>
          <w:szCs w:val="24"/>
        </w:rPr>
      </w:pPr>
      <w:bookmarkStart w:id="40" w:name="_heading=h.ha0e8jqrqqyw" w:colFirst="0" w:colLast="0"/>
      <w:bookmarkEnd w:id="40"/>
      <w:r>
        <w:rPr>
          <w:rFonts w:ascii="Times New Roman" w:eastAsia="Times New Roman" w:hAnsi="Times New Roman" w:cs="Times New Roman"/>
          <w:b/>
          <w:color w:val="000000"/>
          <w:sz w:val="24"/>
          <w:szCs w:val="24"/>
        </w:rPr>
        <w:t>DAS INFRAÇÕES ADMINISTRATIVAS E SANÇÕES</w:t>
      </w:r>
    </w:p>
    <w:p w:rsidR="008C7EA8" w:rsidRDefault="008C7EA8">
      <w:pPr>
        <w:tabs>
          <w:tab w:val="left" w:pos="1418"/>
        </w:tabs>
        <w:spacing w:line="360" w:lineRule="auto"/>
        <w:jc w:val="both"/>
        <w:rPr>
          <w:rFonts w:ascii="Times New Roman" w:eastAsia="Times New Roman" w:hAnsi="Times New Roman" w:cs="Times New Roman"/>
          <w:sz w:val="24"/>
          <w:szCs w:val="24"/>
        </w:rPr>
      </w:pP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Comete infração administrativa, nos termos da lei, o licitante que, com dolo ou culpa:</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bookmarkStart w:id="41" w:name="_heading=h.2xcytpi" w:colFirst="0" w:colLast="0"/>
      <w:bookmarkEnd w:id="41"/>
      <w:proofErr w:type="gramStart"/>
      <w:r>
        <w:rPr>
          <w:rFonts w:ascii="Times New Roman" w:eastAsia="Times New Roman" w:hAnsi="Times New Roman" w:cs="Times New Roman"/>
          <w:color w:val="000000"/>
          <w:sz w:val="24"/>
          <w:szCs w:val="24"/>
        </w:rPr>
        <w:t>deixar</w:t>
      </w:r>
      <w:proofErr w:type="gramEnd"/>
      <w:r>
        <w:rPr>
          <w:rFonts w:ascii="Times New Roman" w:eastAsia="Times New Roman" w:hAnsi="Times New Roman" w:cs="Times New Roman"/>
          <w:color w:val="000000"/>
          <w:sz w:val="24"/>
          <w:szCs w:val="24"/>
        </w:rPr>
        <w:t xml:space="preserve"> de entregar a documentação exigida para o certame ou não entregar qualquer documento que tenha sido solicitado pelo(a) pregoeiro(a) durante o certame;</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bookmarkStart w:id="42" w:name="_heading=h.1ci93xb" w:colFirst="0" w:colLast="0"/>
      <w:bookmarkEnd w:id="42"/>
      <w:proofErr w:type="gramStart"/>
      <w:r>
        <w:rPr>
          <w:rFonts w:ascii="Times New Roman" w:eastAsia="Times New Roman" w:hAnsi="Times New Roman" w:cs="Times New Roman"/>
          <w:color w:val="000000"/>
          <w:sz w:val="24"/>
          <w:szCs w:val="24"/>
        </w:rPr>
        <w:lastRenderedPageBreak/>
        <w:t>salvo</w:t>
      </w:r>
      <w:proofErr w:type="gramEnd"/>
      <w:r>
        <w:rPr>
          <w:rFonts w:ascii="Times New Roman" w:eastAsia="Times New Roman" w:hAnsi="Times New Roman" w:cs="Times New Roman"/>
          <w:color w:val="000000"/>
          <w:sz w:val="24"/>
          <w:szCs w:val="24"/>
        </w:rPr>
        <w:t xml:space="preserve"> em decorrência de fato superveniente devidamente justificado, não mantiver a proposta em especial quando:</w:t>
      </w:r>
    </w:p>
    <w:p w:rsidR="008C7EA8" w:rsidRDefault="007C04D2">
      <w:pPr>
        <w:numPr>
          <w:ilvl w:val="3"/>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não</w:t>
      </w:r>
      <w:proofErr w:type="gramEnd"/>
      <w:r>
        <w:rPr>
          <w:rFonts w:ascii="Times New Roman" w:eastAsia="Times New Roman" w:hAnsi="Times New Roman" w:cs="Times New Roman"/>
          <w:color w:val="000000"/>
          <w:sz w:val="24"/>
          <w:szCs w:val="24"/>
        </w:rPr>
        <w:t xml:space="preserve"> enviar a proposta adequada ao último lance ofertado ou após a negociação;</w:t>
      </w:r>
    </w:p>
    <w:p w:rsidR="008C7EA8" w:rsidRDefault="007C04D2">
      <w:pPr>
        <w:numPr>
          <w:ilvl w:val="3"/>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recusar</w:t>
      </w:r>
      <w:proofErr w:type="gramEnd"/>
      <w:r>
        <w:rPr>
          <w:rFonts w:ascii="Times New Roman" w:eastAsia="Times New Roman" w:hAnsi="Times New Roman" w:cs="Times New Roman"/>
          <w:color w:val="000000"/>
          <w:sz w:val="24"/>
          <w:szCs w:val="24"/>
        </w:rPr>
        <w:t>-se a enviar o detalhamento da proposta quando exigível;</w:t>
      </w:r>
    </w:p>
    <w:p w:rsidR="008C7EA8" w:rsidRDefault="007C04D2">
      <w:pPr>
        <w:numPr>
          <w:ilvl w:val="3"/>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pe</w:t>
      </w:r>
      <w:r>
        <w:rPr>
          <w:rFonts w:ascii="Times New Roman" w:eastAsia="Times New Roman" w:hAnsi="Times New Roman" w:cs="Times New Roman"/>
          <w:color w:val="000000"/>
          <w:sz w:val="24"/>
          <w:szCs w:val="24"/>
        </w:rPr>
        <w:t>dir</w:t>
      </w:r>
      <w:proofErr w:type="gramEnd"/>
      <w:r>
        <w:rPr>
          <w:rFonts w:ascii="Times New Roman" w:eastAsia="Times New Roman" w:hAnsi="Times New Roman" w:cs="Times New Roman"/>
          <w:color w:val="000000"/>
          <w:sz w:val="24"/>
          <w:szCs w:val="24"/>
        </w:rPr>
        <w:t xml:space="preserve"> para ser desclassificado quando encerrada a etapa competitiva;</w:t>
      </w:r>
    </w:p>
    <w:p w:rsidR="008C7EA8" w:rsidRDefault="007C04D2">
      <w:pPr>
        <w:numPr>
          <w:ilvl w:val="3"/>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deixar</w:t>
      </w:r>
      <w:proofErr w:type="gramEnd"/>
      <w:r>
        <w:rPr>
          <w:rFonts w:ascii="Times New Roman" w:eastAsia="Times New Roman" w:hAnsi="Times New Roman" w:cs="Times New Roman"/>
          <w:color w:val="000000"/>
          <w:sz w:val="24"/>
          <w:szCs w:val="24"/>
        </w:rPr>
        <w:t xml:space="preserve"> de apresentar amostra;</w:t>
      </w:r>
    </w:p>
    <w:p w:rsidR="008C7EA8" w:rsidRDefault="007C04D2">
      <w:pPr>
        <w:numPr>
          <w:ilvl w:val="3"/>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apresentar</w:t>
      </w:r>
      <w:proofErr w:type="gramEnd"/>
      <w:r>
        <w:rPr>
          <w:rFonts w:ascii="Times New Roman" w:eastAsia="Times New Roman" w:hAnsi="Times New Roman" w:cs="Times New Roman"/>
          <w:color w:val="000000"/>
          <w:sz w:val="24"/>
          <w:szCs w:val="24"/>
        </w:rPr>
        <w:t xml:space="preserve"> proposta ou amostra em desacordo com as especificações do Edital;</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bookmarkStart w:id="43" w:name="_heading=h.3whwml4" w:colFirst="0" w:colLast="0"/>
      <w:bookmarkEnd w:id="43"/>
      <w:proofErr w:type="gramStart"/>
      <w:r>
        <w:rPr>
          <w:rFonts w:ascii="Times New Roman" w:eastAsia="Times New Roman" w:hAnsi="Times New Roman" w:cs="Times New Roman"/>
          <w:color w:val="000000"/>
          <w:sz w:val="24"/>
          <w:szCs w:val="24"/>
        </w:rPr>
        <w:t>não</w:t>
      </w:r>
      <w:proofErr w:type="gramEnd"/>
      <w:r>
        <w:rPr>
          <w:rFonts w:ascii="Times New Roman" w:eastAsia="Times New Roman" w:hAnsi="Times New Roman" w:cs="Times New Roman"/>
          <w:color w:val="000000"/>
          <w:sz w:val="24"/>
          <w:szCs w:val="24"/>
        </w:rPr>
        <w:t xml:space="preserve"> celebrar o Contrato ou não entregar a documentação exigida para a contratação, quando convocado dentro do prazo de validade de sua proposta;</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recusar</w:t>
      </w:r>
      <w:proofErr w:type="gramEnd"/>
      <w:r>
        <w:rPr>
          <w:rFonts w:ascii="Times New Roman" w:eastAsia="Times New Roman" w:hAnsi="Times New Roman" w:cs="Times New Roman"/>
          <w:color w:val="000000"/>
          <w:sz w:val="24"/>
          <w:szCs w:val="24"/>
        </w:rPr>
        <w:t>-se, sem justificativa, a assinar o Contrato ou a ata de registro de preço, ou a aceitar ou retirar o in</w:t>
      </w:r>
      <w:r>
        <w:rPr>
          <w:rFonts w:ascii="Times New Roman" w:eastAsia="Times New Roman" w:hAnsi="Times New Roman" w:cs="Times New Roman"/>
          <w:color w:val="000000"/>
          <w:sz w:val="24"/>
          <w:szCs w:val="24"/>
        </w:rPr>
        <w:t>strumento equivalente no prazo estabelecido pela Administração;</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bookmarkStart w:id="44" w:name="_heading=h.2bn6wsx" w:colFirst="0" w:colLast="0"/>
      <w:bookmarkEnd w:id="44"/>
      <w:proofErr w:type="gramStart"/>
      <w:r>
        <w:rPr>
          <w:rFonts w:ascii="Times New Roman" w:eastAsia="Times New Roman" w:hAnsi="Times New Roman" w:cs="Times New Roman"/>
          <w:color w:val="000000"/>
          <w:sz w:val="24"/>
          <w:szCs w:val="24"/>
        </w:rPr>
        <w:t>apresentar</w:t>
      </w:r>
      <w:proofErr w:type="gramEnd"/>
      <w:r>
        <w:rPr>
          <w:rFonts w:ascii="Times New Roman" w:eastAsia="Times New Roman" w:hAnsi="Times New Roman" w:cs="Times New Roman"/>
          <w:color w:val="000000"/>
          <w:sz w:val="24"/>
          <w:szCs w:val="24"/>
        </w:rPr>
        <w:t xml:space="preserve"> declaração ou documentação falsa exigida para o certame ou prestar declaração falsa durante a licitação;</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bookmarkStart w:id="45" w:name="_heading=h.qsh70q" w:colFirst="0" w:colLast="0"/>
      <w:bookmarkEnd w:id="45"/>
      <w:proofErr w:type="gramStart"/>
      <w:r>
        <w:rPr>
          <w:rFonts w:ascii="Times New Roman" w:eastAsia="Times New Roman" w:hAnsi="Times New Roman" w:cs="Times New Roman"/>
          <w:color w:val="000000"/>
          <w:sz w:val="24"/>
          <w:szCs w:val="24"/>
        </w:rPr>
        <w:t>fraudar</w:t>
      </w:r>
      <w:proofErr w:type="gramEnd"/>
      <w:r>
        <w:rPr>
          <w:rFonts w:ascii="Times New Roman" w:eastAsia="Times New Roman" w:hAnsi="Times New Roman" w:cs="Times New Roman"/>
          <w:color w:val="000000"/>
          <w:sz w:val="24"/>
          <w:szCs w:val="24"/>
        </w:rPr>
        <w:t xml:space="preserve"> a licitação;</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bookmarkStart w:id="46" w:name="_heading=h.3as4poj" w:colFirst="0" w:colLast="0"/>
      <w:bookmarkEnd w:id="46"/>
      <w:proofErr w:type="gramStart"/>
      <w:r>
        <w:rPr>
          <w:rFonts w:ascii="Times New Roman" w:eastAsia="Times New Roman" w:hAnsi="Times New Roman" w:cs="Times New Roman"/>
          <w:color w:val="000000"/>
          <w:sz w:val="24"/>
          <w:szCs w:val="24"/>
        </w:rPr>
        <w:t>comportar</w:t>
      </w:r>
      <w:proofErr w:type="gramEnd"/>
      <w:r>
        <w:rPr>
          <w:rFonts w:ascii="Times New Roman" w:eastAsia="Times New Roman" w:hAnsi="Times New Roman" w:cs="Times New Roman"/>
          <w:color w:val="000000"/>
          <w:sz w:val="24"/>
          <w:szCs w:val="24"/>
        </w:rPr>
        <w:t>-se de modo inidôneo ou cometer fraude de qual</w:t>
      </w:r>
      <w:r>
        <w:rPr>
          <w:rFonts w:ascii="Times New Roman" w:eastAsia="Times New Roman" w:hAnsi="Times New Roman" w:cs="Times New Roman"/>
          <w:color w:val="000000"/>
          <w:sz w:val="24"/>
          <w:szCs w:val="24"/>
        </w:rPr>
        <w:t>quer natureza, em especial quando:</w:t>
      </w:r>
    </w:p>
    <w:p w:rsidR="008C7EA8" w:rsidRDefault="007C04D2">
      <w:pPr>
        <w:numPr>
          <w:ilvl w:val="3"/>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agir</w:t>
      </w:r>
      <w:proofErr w:type="gramEnd"/>
      <w:r>
        <w:rPr>
          <w:rFonts w:ascii="Times New Roman" w:eastAsia="Times New Roman" w:hAnsi="Times New Roman" w:cs="Times New Roman"/>
          <w:color w:val="000000"/>
          <w:sz w:val="24"/>
          <w:szCs w:val="24"/>
        </w:rPr>
        <w:t xml:space="preserve"> em conluio ou em desconformidade com a lei;</w:t>
      </w:r>
    </w:p>
    <w:p w:rsidR="008C7EA8" w:rsidRDefault="007C04D2">
      <w:pPr>
        <w:numPr>
          <w:ilvl w:val="3"/>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induzir</w:t>
      </w:r>
      <w:proofErr w:type="gramEnd"/>
      <w:r>
        <w:rPr>
          <w:rFonts w:ascii="Times New Roman" w:eastAsia="Times New Roman" w:hAnsi="Times New Roman" w:cs="Times New Roman"/>
          <w:color w:val="000000"/>
          <w:sz w:val="24"/>
          <w:szCs w:val="24"/>
        </w:rPr>
        <w:t xml:space="preserve"> deliberadamente a erro no julgamento;</w:t>
      </w:r>
    </w:p>
    <w:p w:rsidR="008C7EA8" w:rsidRDefault="007C04D2">
      <w:pPr>
        <w:numPr>
          <w:ilvl w:val="3"/>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apresentar</w:t>
      </w:r>
      <w:proofErr w:type="gramEnd"/>
      <w:r>
        <w:rPr>
          <w:rFonts w:ascii="Times New Roman" w:eastAsia="Times New Roman" w:hAnsi="Times New Roman" w:cs="Times New Roman"/>
          <w:color w:val="000000"/>
          <w:sz w:val="24"/>
          <w:szCs w:val="24"/>
        </w:rPr>
        <w:t xml:space="preserve"> amostra falsificada ou deteriorada;</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bookmarkStart w:id="47" w:name="_heading=h.1pxezwc" w:colFirst="0" w:colLast="0"/>
      <w:bookmarkEnd w:id="47"/>
      <w:proofErr w:type="gramStart"/>
      <w:r>
        <w:rPr>
          <w:rFonts w:ascii="Times New Roman" w:eastAsia="Times New Roman" w:hAnsi="Times New Roman" w:cs="Times New Roman"/>
          <w:color w:val="000000"/>
          <w:sz w:val="24"/>
          <w:szCs w:val="24"/>
        </w:rPr>
        <w:t>praticar</w:t>
      </w:r>
      <w:proofErr w:type="gramEnd"/>
      <w:r>
        <w:rPr>
          <w:rFonts w:ascii="Times New Roman" w:eastAsia="Times New Roman" w:hAnsi="Times New Roman" w:cs="Times New Roman"/>
          <w:color w:val="000000"/>
          <w:sz w:val="24"/>
          <w:szCs w:val="24"/>
        </w:rPr>
        <w:t xml:space="preserve"> atos ilícitos com vistas a frustrar os objetivos da licitação;</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bookmarkStart w:id="48" w:name="_heading=h.49x2ik5" w:colFirst="0" w:colLast="0"/>
      <w:bookmarkEnd w:id="48"/>
      <w:r>
        <w:rPr>
          <w:rFonts w:ascii="Times New Roman" w:eastAsia="Times New Roman" w:hAnsi="Times New Roman" w:cs="Times New Roman"/>
          <w:color w:val="000000"/>
          <w:sz w:val="24"/>
          <w:szCs w:val="24"/>
        </w:rPr>
        <w:t xml:space="preserve">praticar ato lesivo previsto no </w:t>
      </w:r>
      <w:hyperlink r:id="rId40" w:anchor="art5">
        <w:r>
          <w:rPr>
            <w:rFonts w:ascii="Times New Roman" w:eastAsia="Times New Roman" w:hAnsi="Times New Roman" w:cs="Times New Roman"/>
            <w:color w:val="000000"/>
            <w:sz w:val="24"/>
            <w:szCs w:val="24"/>
          </w:rPr>
          <w:t>art. 5º da Lei nº 12.846, de 2013</w:t>
        </w:r>
      </w:hyperlink>
      <w:r>
        <w:rPr>
          <w:rFonts w:ascii="Times New Roman" w:eastAsia="Times New Roman" w:hAnsi="Times New Roman" w:cs="Times New Roman"/>
          <w:color w:val="000000"/>
          <w:sz w:val="24"/>
          <w:szCs w:val="24"/>
        </w:rPr>
        <w:t>.</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Com fulcro na </w:t>
      </w:r>
      <w:hyperlink r:id="rId41">
        <w:r>
          <w:rPr>
            <w:rFonts w:ascii="Times New Roman" w:eastAsia="Times New Roman" w:hAnsi="Times New Roman" w:cs="Times New Roman"/>
            <w:color w:val="000000"/>
            <w:sz w:val="24"/>
            <w:szCs w:val="24"/>
          </w:rPr>
          <w:t>Lei nº 14.133, de 2021</w:t>
        </w:r>
      </w:hyperlink>
      <w:r>
        <w:rPr>
          <w:rFonts w:ascii="Times New Roman" w:eastAsia="Times New Roman" w:hAnsi="Times New Roman" w:cs="Times New Roman"/>
          <w:color w:val="000000"/>
          <w:sz w:val="24"/>
          <w:szCs w:val="24"/>
        </w:rPr>
        <w:t>, a Administração poderá, após regular processo administrativo, garantida a prévia defesa, aplicar aos licitantes e/ou adjudicatários as seguintes sanções, sem prejuízo das responsabilidades civil e criminal:</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advertênc</w:t>
      </w:r>
      <w:r>
        <w:rPr>
          <w:rFonts w:ascii="Times New Roman" w:eastAsia="Times New Roman" w:hAnsi="Times New Roman" w:cs="Times New Roman"/>
          <w:color w:val="000000"/>
          <w:sz w:val="24"/>
          <w:szCs w:val="24"/>
        </w:rPr>
        <w:t>ia</w:t>
      </w:r>
      <w:proofErr w:type="gramEnd"/>
      <w:r>
        <w:rPr>
          <w:rFonts w:ascii="Times New Roman" w:eastAsia="Times New Roman" w:hAnsi="Times New Roman" w:cs="Times New Roman"/>
          <w:color w:val="000000"/>
          <w:sz w:val="24"/>
          <w:szCs w:val="24"/>
        </w:rPr>
        <w:t>;</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multa</w:t>
      </w:r>
      <w:proofErr w:type="gramEnd"/>
      <w:r>
        <w:rPr>
          <w:rFonts w:ascii="Times New Roman" w:eastAsia="Times New Roman" w:hAnsi="Times New Roman" w:cs="Times New Roman"/>
          <w:color w:val="000000"/>
          <w:sz w:val="24"/>
          <w:szCs w:val="24"/>
        </w:rPr>
        <w:t>;</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impedimento</w:t>
      </w:r>
      <w:proofErr w:type="gramEnd"/>
      <w:r>
        <w:rPr>
          <w:rFonts w:ascii="Times New Roman" w:eastAsia="Times New Roman" w:hAnsi="Times New Roman" w:cs="Times New Roman"/>
          <w:color w:val="000000"/>
          <w:sz w:val="24"/>
          <w:szCs w:val="24"/>
        </w:rPr>
        <w:t xml:space="preserve"> de licitar e contratar e;</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declaração</w:t>
      </w:r>
      <w:proofErr w:type="gramEnd"/>
      <w:r>
        <w:rPr>
          <w:rFonts w:ascii="Times New Roman" w:eastAsia="Times New Roman" w:hAnsi="Times New Roman" w:cs="Times New Roman"/>
          <w:color w:val="000000"/>
          <w:sz w:val="24"/>
          <w:szCs w:val="24"/>
        </w:rPr>
        <w:t xml:space="preserve"> de inidoneidade para licitar ou contratar, enquanto perdurarem os motivos determinantes da punição ou até que seja promovida sua reabilitação perante a própria autoridade que aplicou a penalidade.</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 aplicação das sanções serão considerados:</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a</w:t>
      </w:r>
      <w:proofErr w:type="gramEnd"/>
      <w:r>
        <w:rPr>
          <w:rFonts w:ascii="Times New Roman" w:eastAsia="Times New Roman" w:hAnsi="Times New Roman" w:cs="Times New Roman"/>
          <w:color w:val="000000"/>
          <w:sz w:val="24"/>
          <w:szCs w:val="24"/>
        </w:rPr>
        <w:t xml:space="preserve"> natureza e a gravidade da infração cometida;</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as</w:t>
      </w:r>
      <w:proofErr w:type="gramEnd"/>
      <w:r>
        <w:rPr>
          <w:rFonts w:ascii="Times New Roman" w:eastAsia="Times New Roman" w:hAnsi="Times New Roman" w:cs="Times New Roman"/>
          <w:color w:val="000000"/>
          <w:sz w:val="24"/>
          <w:szCs w:val="24"/>
        </w:rPr>
        <w:t xml:space="preserve"> peculiaridades do caso concreto;</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lastRenderedPageBreak/>
        <w:t>as</w:t>
      </w:r>
      <w:proofErr w:type="gramEnd"/>
      <w:r>
        <w:rPr>
          <w:rFonts w:ascii="Times New Roman" w:eastAsia="Times New Roman" w:hAnsi="Times New Roman" w:cs="Times New Roman"/>
          <w:color w:val="000000"/>
          <w:sz w:val="24"/>
          <w:szCs w:val="24"/>
        </w:rPr>
        <w:t xml:space="preserve"> circunstâncias agravantes ou atenuantes;</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os</w:t>
      </w:r>
      <w:proofErr w:type="gramEnd"/>
      <w:r>
        <w:rPr>
          <w:rFonts w:ascii="Times New Roman" w:eastAsia="Times New Roman" w:hAnsi="Times New Roman" w:cs="Times New Roman"/>
          <w:color w:val="000000"/>
          <w:sz w:val="24"/>
          <w:szCs w:val="24"/>
        </w:rPr>
        <w:t xml:space="preserve"> danos que dela provierem para a Administração Pública;</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a</w:t>
      </w:r>
      <w:proofErr w:type="gramEnd"/>
      <w:r>
        <w:rPr>
          <w:rFonts w:ascii="Times New Roman" w:eastAsia="Times New Roman" w:hAnsi="Times New Roman" w:cs="Times New Roman"/>
          <w:color w:val="000000"/>
          <w:sz w:val="24"/>
          <w:szCs w:val="24"/>
        </w:rPr>
        <w:t xml:space="preserve"> implantação ou o aperfe</w:t>
      </w:r>
      <w:r>
        <w:rPr>
          <w:rFonts w:ascii="Times New Roman" w:eastAsia="Times New Roman" w:hAnsi="Times New Roman" w:cs="Times New Roman"/>
          <w:color w:val="000000"/>
          <w:sz w:val="24"/>
          <w:szCs w:val="24"/>
        </w:rPr>
        <w:t>içoamento de programa de integridade, conforme normas e orientações dos órgãos de controle.</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B050"/>
          <w:sz w:val="24"/>
          <w:szCs w:val="24"/>
        </w:rPr>
      </w:pPr>
      <w:r>
        <w:rPr>
          <w:rFonts w:ascii="Times New Roman" w:eastAsia="Times New Roman" w:hAnsi="Times New Roman" w:cs="Times New Roman"/>
          <w:b/>
          <w:color w:val="00B050"/>
          <w:sz w:val="24"/>
          <w:szCs w:val="24"/>
        </w:rPr>
        <w:t>A multa será recolhida em percentual de 0,5% a 30% incidente sobre o valor do Contrato licitado, recolhida no prazo máximo de 30 (trinta) dias úteis, a contar da co</w:t>
      </w:r>
      <w:r>
        <w:rPr>
          <w:rFonts w:ascii="Times New Roman" w:eastAsia="Times New Roman" w:hAnsi="Times New Roman" w:cs="Times New Roman"/>
          <w:b/>
          <w:color w:val="00B050"/>
          <w:sz w:val="24"/>
          <w:szCs w:val="24"/>
        </w:rPr>
        <w:t>municação oficial.</w:t>
      </w:r>
      <w:r>
        <w:rPr>
          <w:rFonts w:ascii="Times New Roman" w:eastAsia="Times New Roman" w:hAnsi="Times New Roman" w:cs="Times New Roman"/>
          <w:b/>
          <w:color w:val="00B050"/>
          <w:sz w:val="24"/>
          <w:szCs w:val="24"/>
          <w:vertAlign w:val="superscript"/>
        </w:rPr>
        <w:footnoteReference w:id="113"/>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z w:val="24"/>
          <w:szCs w:val="24"/>
        </w:rPr>
      </w:pPr>
      <w:bookmarkStart w:id="49" w:name="_heading=h.2p2csry" w:colFirst="0" w:colLast="0"/>
      <w:bookmarkEnd w:id="49"/>
      <w:r>
        <w:rPr>
          <w:rFonts w:ascii="Times New Roman" w:eastAsia="Times New Roman" w:hAnsi="Times New Roman" w:cs="Times New Roman"/>
          <w:sz w:val="24"/>
          <w:szCs w:val="24"/>
        </w:rPr>
        <w:t>Para as infrações previstas nos itens 14.1.1, 14.1.2 e 14.1.3, a multa será de 0,5% a 15% do valor do Contrato licitado.</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Para as infrações previstas nos itens 14.1.4, 14.1.5, 14.1.6, 14.1.7, 14.1.8 e 14.1.9, a multa será de 15% a 30% do valor do Contrato licitado.</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As sanções de advertência, impedimento de licitar e contratar e declaração de inidoneidade para licitar ou contr</w:t>
      </w:r>
      <w:r>
        <w:rPr>
          <w:rFonts w:ascii="Times New Roman" w:eastAsia="Times New Roman" w:hAnsi="Times New Roman" w:cs="Times New Roman"/>
          <w:color w:val="000000"/>
          <w:sz w:val="24"/>
          <w:szCs w:val="24"/>
        </w:rPr>
        <w:t>atar poderão ser aplicadas, cumulativamente ou não, à penalidade de multa.</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 aplicação da sanção de multa será facultada a defesa do interessado no prazo de 15 (quinze) dias úteis, contado da data de sua intimação.</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sanção de impedimento de licitar e con</w:t>
      </w:r>
      <w:r>
        <w:rPr>
          <w:rFonts w:ascii="Times New Roman" w:eastAsia="Times New Roman" w:hAnsi="Times New Roman" w:cs="Times New Roman"/>
          <w:color w:val="000000"/>
          <w:sz w:val="24"/>
          <w:szCs w:val="24"/>
        </w:rPr>
        <w:t>tratar será aplicada ao responsável em decorrência das infrações administrativas relacionadas nos itens 14.1.1, 14.1.2, 14.1.3 e 14.1.4, quando não se justificar a imposição de penalidade mais grave, e impedirá o responsável de licitar e contratar no âmbit</w:t>
      </w:r>
      <w:r>
        <w:rPr>
          <w:rFonts w:ascii="Times New Roman" w:eastAsia="Times New Roman" w:hAnsi="Times New Roman" w:cs="Times New Roman"/>
          <w:color w:val="000000"/>
          <w:sz w:val="24"/>
          <w:szCs w:val="24"/>
        </w:rPr>
        <w:t>o da Administração Pública direta e indireta do ente federativo a qual pertencer o órgão ou entidade, pelo prazo máximo de 03 (três) anos.</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Poderá ser aplicada ao responsável a sanção de declaração de inidoneidade para licitar ou contratar, em decorrência da prática das infrações dispostas nos itens 14.1.5, 14.1.6, 14.1.7, 14.1.8 e 14.1.9, bem como pelas infrações administrativas previstas nos</w:t>
      </w:r>
      <w:r>
        <w:rPr>
          <w:rFonts w:ascii="Times New Roman" w:eastAsia="Times New Roman" w:hAnsi="Times New Roman" w:cs="Times New Roman"/>
          <w:color w:val="000000"/>
          <w:sz w:val="24"/>
          <w:szCs w:val="24"/>
        </w:rPr>
        <w:t xml:space="preserve"> itens 14.1.1, 14.1.2 e 14.1.3 que justifiquem a imposição de penalidade mais grave que a sanção de impedimento de licitar e contratar, cuja duração observará o prazo previsto no </w:t>
      </w:r>
      <w:hyperlink r:id="rId42" w:anchor="art156%C2%A75">
        <w:r>
          <w:rPr>
            <w:rFonts w:ascii="Times New Roman" w:eastAsia="Times New Roman" w:hAnsi="Times New Roman" w:cs="Times New Roman"/>
            <w:color w:val="000000"/>
            <w:sz w:val="24"/>
            <w:szCs w:val="24"/>
          </w:rPr>
          <w:t>art. 156, §5º, da Lei n.º 14.133/2021</w:t>
        </w:r>
      </w:hyperlink>
      <w:r>
        <w:rPr>
          <w:rFonts w:ascii="Times New Roman" w:eastAsia="Times New Roman" w:hAnsi="Times New Roman" w:cs="Times New Roman"/>
          <w:color w:val="000000"/>
          <w:sz w:val="24"/>
          <w:szCs w:val="24"/>
        </w:rPr>
        <w:t>.</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A recusa injustificada do adjudicatário em assinar o Contrato ou a ata de registro de preço, ou em aceitar ou retirar o instrumento equivalente no prazo estabelecido pela Administração,</w:t>
      </w:r>
      <w:r>
        <w:rPr>
          <w:rFonts w:ascii="Times New Roman" w:eastAsia="Times New Roman" w:hAnsi="Times New Roman" w:cs="Times New Roman"/>
          <w:color w:val="000000"/>
          <w:sz w:val="24"/>
          <w:szCs w:val="24"/>
        </w:rPr>
        <w:t xml:space="preserve"> descrita no item 14.1.4, caracterizará o descumprimento total da obrigação assumida e o sujeitará às penalidades e à imediata perda da garantia de proposta em favor do órgão ou entidade promotora da licitação, nos termos do </w:t>
      </w:r>
      <w:hyperlink r:id="rId43">
        <w:r>
          <w:rPr>
            <w:rFonts w:ascii="Times New Roman" w:eastAsia="Times New Roman" w:hAnsi="Times New Roman" w:cs="Times New Roman"/>
            <w:color w:val="000000"/>
            <w:sz w:val="24"/>
            <w:szCs w:val="24"/>
          </w:rPr>
          <w:t>art. 45, §4º da IN SEGES/ME n.º 73, de 2022</w:t>
        </w:r>
      </w:hyperlink>
      <w:r>
        <w:rPr>
          <w:rFonts w:ascii="Times New Roman" w:eastAsia="Times New Roman" w:hAnsi="Times New Roman" w:cs="Times New Roman"/>
          <w:color w:val="000000"/>
          <w:sz w:val="24"/>
          <w:szCs w:val="24"/>
        </w:rPr>
        <w:t>.</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apuração de responsabilidade relacionadas às sanções de impedimento de lic</w:t>
      </w:r>
      <w:r>
        <w:rPr>
          <w:rFonts w:ascii="Times New Roman" w:eastAsia="Times New Roman" w:hAnsi="Times New Roman" w:cs="Times New Roman"/>
          <w:color w:val="000000"/>
          <w:sz w:val="24"/>
          <w:szCs w:val="24"/>
        </w:rPr>
        <w:t>itar e contratar e de declaração de inidoneidade para licitar ou contratar demandará a instauração de processo de responsabilização a ser conduzido por comissão composta por 02 (dois) ou mais servidores estáveis, que avaliará fatos e circunstâncias conheci</w:t>
      </w:r>
      <w:r>
        <w:rPr>
          <w:rFonts w:ascii="Times New Roman" w:eastAsia="Times New Roman" w:hAnsi="Times New Roman" w:cs="Times New Roman"/>
          <w:color w:val="000000"/>
          <w:sz w:val="24"/>
          <w:szCs w:val="24"/>
        </w:rPr>
        <w:t>dos e intimará o licitante ou o adjudicatário para, no prazo de 15 (quinze) dias úteis, contado da data de sua intimação, apresentar defesa escrita e especificar as provas que pretenda produzir.</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Caberá recurso no prazo de 15 (quinze) dias úteis da aplicaçã</w:t>
      </w:r>
      <w:r>
        <w:rPr>
          <w:rFonts w:ascii="Times New Roman" w:eastAsia="Times New Roman" w:hAnsi="Times New Roman" w:cs="Times New Roman"/>
          <w:color w:val="000000"/>
          <w:sz w:val="24"/>
          <w:szCs w:val="24"/>
        </w:rPr>
        <w:t>o das sanções de advertência, multa e impedimento de licitar e contratar, contado da data da intimação, o qual será dirigido à autoridade que tiver proferido a decisão recorrida, que, se não a reconsiderar no prazo de 05 (cinco) dias úteis, encaminhará o r</w:t>
      </w:r>
      <w:r>
        <w:rPr>
          <w:rFonts w:ascii="Times New Roman" w:eastAsia="Times New Roman" w:hAnsi="Times New Roman" w:cs="Times New Roman"/>
          <w:color w:val="000000"/>
          <w:sz w:val="24"/>
          <w:szCs w:val="24"/>
        </w:rPr>
        <w:t>ecurso com sua motivação à autoridade superior, que deverá proferir sua decisão no prazo máximo de 20 (vinte) dias úteis, contado do recebimento dos autos.</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Caberá a apresentação de pedido de reconsideração da aplicação da sanção de declaração de inidoneida</w:t>
      </w:r>
      <w:r>
        <w:rPr>
          <w:rFonts w:ascii="Times New Roman" w:eastAsia="Times New Roman" w:hAnsi="Times New Roman" w:cs="Times New Roman"/>
          <w:color w:val="000000"/>
          <w:sz w:val="24"/>
          <w:szCs w:val="24"/>
        </w:rPr>
        <w:t>de para licitar ou contratar no prazo de 15 (quinze) dias úteis, contado da data da intimação, e decidido no prazo máximo de 20 (vinte) dias úteis, contado do seu recebimento.</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 recurso e o pedido de reconsideração terão efeito suspensivo do ato ou da deci</w:t>
      </w:r>
      <w:r>
        <w:rPr>
          <w:rFonts w:ascii="Times New Roman" w:eastAsia="Times New Roman" w:hAnsi="Times New Roman" w:cs="Times New Roman"/>
          <w:color w:val="000000"/>
          <w:sz w:val="24"/>
          <w:szCs w:val="24"/>
        </w:rPr>
        <w:t>são recorrida até que sobrevenha decisão final da autoridade competente.</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aplicação das sanções previstas neste Edital não exclui, em hipótese alguma, a obrigação de reparação integral dos danos causados.</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Para a garantia da ampla defesa e contraditório do</w:t>
      </w:r>
      <w:r>
        <w:rPr>
          <w:rFonts w:ascii="Times New Roman" w:eastAsia="Times New Roman" w:hAnsi="Times New Roman" w:cs="Times New Roman"/>
          <w:color w:val="000000"/>
          <w:sz w:val="24"/>
          <w:szCs w:val="24"/>
        </w:rPr>
        <w:t>s licitantes, as notificações serão enviadas eletronicamente para os endereços de e-mail informados na proposta comercial, bem como os cadastrados pela empresa no SICAF.</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14.15.1</w:t>
      </w:r>
      <w:r>
        <w:rPr>
          <w:rFonts w:ascii="Times New Roman" w:eastAsia="Times New Roman" w:hAnsi="Times New Roman" w:cs="Times New Roman"/>
          <w:color w:val="000000"/>
          <w:sz w:val="24"/>
          <w:szCs w:val="24"/>
        </w:rPr>
        <w:tab/>
      </w:r>
      <w:r>
        <w:rPr>
          <w:rFonts w:ascii="Times New Roman" w:eastAsia="Times New Roman" w:hAnsi="Times New Roman" w:cs="Times New Roman"/>
          <w:sz w:val="24"/>
          <w:szCs w:val="24"/>
        </w:rPr>
        <w:t>Os</w:t>
      </w:r>
      <w:proofErr w:type="gramEnd"/>
      <w:r>
        <w:rPr>
          <w:rFonts w:ascii="Times New Roman" w:eastAsia="Times New Roman" w:hAnsi="Times New Roman" w:cs="Times New Roman"/>
          <w:sz w:val="24"/>
          <w:szCs w:val="24"/>
        </w:rPr>
        <w:t xml:space="preserve"> endereços de e-mail informados na proposta comercial e/ou cadastrados no SI</w:t>
      </w:r>
      <w:r>
        <w:rPr>
          <w:rFonts w:ascii="Times New Roman" w:eastAsia="Times New Roman" w:hAnsi="Times New Roman" w:cs="Times New Roman"/>
          <w:sz w:val="24"/>
          <w:szCs w:val="24"/>
        </w:rPr>
        <w:t>CAF serão considerados de uso contínuo da empresa, não cabendo alegação de desconhecimento das comunicações a eles comprovadamente enviadas.</w:t>
      </w: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color w:val="000000"/>
          <w:sz w:val="24"/>
          <w:szCs w:val="24"/>
        </w:rPr>
      </w:pPr>
    </w:p>
    <w:p w:rsidR="008C7EA8" w:rsidRDefault="007C04D2">
      <w:pPr>
        <w:numPr>
          <w:ilvl w:val="0"/>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0000"/>
          <w:sz w:val="24"/>
          <w:szCs w:val="24"/>
        </w:rPr>
      </w:pPr>
      <w:bookmarkStart w:id="50" w:name="_heading=h.vq8oxepdd3ix" w:colFirst="0" w:colLast="0"/>
      <w:bookmarkEnd w:id="50"/>
      <w:r>
        <w:rPr>
          <w:rFonts w:ascii="Times New Roman" w:eastAsia="Times New Roman" w:hAnsi="Times New Roman" w:cs="Times New Roman"/>
          <w:b/>
          <w:color w:val="000000"/>
          <w:sz w:val="24"/>
          <w:szCs w:val="24"/>
        </w:rPr>
        <w:lastRenderedPageBreak/>
        <w:t>DA IMPUGNAÇÃO AO EDITAL E DO PEDIDO DE ESCLARECIMENTO</w:t>
      </w:r>
    </w:p>
    <w:p w:rsidR="008C7EA8" w:rsidRDefault="008C7EA8">
      <w:pPr>
        <w:tabs>
          <w:tab w:val="left" w:pos="1418"/>
        </w:tabs>
        <w:spacing w:line="360" w:lineRule="auto"/>
        <w:jc w:val="both"/>
        <w:rPr>
          <w:rFonts w:ascii="Times New Roman" w:eastAsia="Times New Roman" w:hAnsi="Times New Roman" w:cs="Times New Roman"/>
          <w:sz w:val="24"/>
          <w:szCs w:val="24"/>
        </w:rPr>
      </w:pP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Qualquer pessoa é parte legítima para impugnar este Edital por irregularidade na aplicação da </w:t>
      </w:r>
      <w:hyperlink r:id="rId44">
        <w:r>
          <w:rPr>
            <w:rFonts w:ascii="Times New Roman" w:eastAsia="Times New Roman" w:hAnsi="Times New Roman" w:cs="Times New Roman"/>
            <w:color w:val="000000"/>
            <w:sz w:val="24"/>
            <w:szCs w:val="24"/>
          </w:rPr>
          <w:t>Lei nº 14.133, de 2021</w:t>
        </w:r>
      </w:hyperlink>
      <w:r>
        <w:rPr>
          <w:rFonts w:ascii="Times New Roman" w:eastAsia="Times New Roman" w:hAnsi="Times New Roman" w:cs="Times New Roman"/>
          <w:color w:val="000000"/>
          <w:sz w:val="24"/>
          <w:szCs w:val="24"/>
        </w:rPr>
        <w:t>, devendo protocolar o pedido até 03 (três) dias ú</w:t>
      </w:r>
      <w:r>
        <w:rPr>
          <w:rFonts w:ascii="Times New Roman" w:eastAsia="Times New Roman" w:hAnsi="Times New Roman" w:cs="Times New Roman"/>
          <w:color w:val="000000"/>
          <w:sz w:val="24"/>
          <w:szCs w:val="24"/>
        </w:rPr>
        <w:t>teis antes da data da abertura do certame.</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resposta à impugnação ou ao pedido de esclarecimento será divulgado em sítio eletrônico oficial no prazo de até 03 (três) dias úteis, limitado ao último dia útil anterior à data da abertura do certame.</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B050"/>
          <w:sz w:val="24"/>
          <w:szCs w:val="24"/>
        </w:rPr>
      </w:pPr>
      <w:r>
        <w:rPr>
          <w:rFonts w:ascii="Times New Roman" w:eastAsia="Times New Roman" w:hAnsi="Times New Roman" w:cs="Times New Roman"/>
          <w:b/>
          <w:color w:val="00B050"/>
          <w:sz w:val="24"/>
          <w:szCs w:val="24"/>
        </w:rPr>
        <w:t xml:space="preserve">A impugnação e o pedido de esclarecimento deverão ser realizados </w:t>
      </w:r>
      <w:r>
        <w:rPr>
          <w:rFonts w:ascii="Times New Roman" w:eastAsia="Times New Roman" w:hAnsi="Times New Roman" w:cs="Times New Roman"/>
          <w:b/>
          <w:color w:val="00B050"/>
          <w:sz w:val="24"/>
          <w:szCs w:val="24"/>
          <w:u w:val="single"/>
        </w:rPr>
        <w:t>exclusivamente</w:t>
      </w:r>
      <w:r>
        <w:rPr>
          <w:rFonts w:ascii="Times New Roman" w:eastAsia="Times New Roman" w:hAnsi="Times New Roman" w:cs="Times New Roman"/>
          <w:b/>
          <w:color w:val="00B050"/>
          <w:sz w:val="24"/>
          <w:szCs w:val="24"/>
        </w:rPr>
        <w:t xml:space="preserve"> pelo e-mail </w:t>
      </w:r>
      <w:hyperlink r:id="rId45">
        <w:r>
          <w:rPr>
            <w:rFonts w:ascii="Times New Roman" w:eastAsia="Times New Roman" w:hAnsi="Times New Roman" w:cs="Times New Roman"/>
            <w:b/>
            <w:i/>
            <w:color w:val="00B050"/>
            <w:sz w:val="24"/>
            <w:szCs w:val="24"/>
            <w:u w:val="single"/>
          </w:rPr>
          <w:t>licitacoes@sof.ufpb.br</w:t>
        </w:r>
      </w:hyperlink>
      <w:r>
        <w:rPr>
          <w:rFonts w:ascii="Times New Roman" w:eastAsia="Times New Roman" w:hAnsi="Times New Roman" w:cs="Times New Roman"/>
          <w:b/>
          <w:i/>
          <w:color w:val="00B050"/>
          <w:sz w:val="24"/>
          <w:szCs w:val="24"/>
        </w:rPr>
        <w:t>.</w:t>
      </w:r>
      <w:r>
        <w:rPr>
          <w:rFonts w:ascii="Times New Roman" w:eastAsia="Times New Roman" w:hAnsi="Times New Roman" w:cs="Times New Roman"/>
          <w:b/>
          <w:color w:val="00B050"/>
          <w:sz w:val="24"/>
          <w:szCs w:val="24"/>
          <w:vertAlign w:val="superscript"/>
        </w:rPr>
        <w:footnoteReference w:id="114"/>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As impugnações e pedidos de esclarecimentos não suspendem os prazos previstos no certame.</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B050"/>
          <w:sz w:val="24"/>
          <w:szCs w:val="24"/>
        </w:rPr>
      </w:pPr>
      <w:r>
        <w:rPr>
          <w:rFonts w:ascii="Times New Roman" w:eastAsia="Times New Roman" w:hAnsi="Times New Roman" w:cs="Times New Roman"/>
          <w:b/>
          <w:color w:val="00B050"/>
          <w:sz w:val="24"/>
          <w:szCs w:val="24"/>
        </w:rPr>
        <w:t xml:space="preserve">A concessão de efeito suspensivo à impugnação é medida excepcional e, caso ocorra, será motivada pelo </w:t>
      </w:r>
      <w:r>
        <w:rPr>
          <w:rFonts w:ascii="Times New Roman" w:eastAsia="Times New Roman" w:hAnsi="Times New Roman" w:cs="Times New Roman"/>
          <w:b/>
          <w:color w:val="00B050"/>
          <w:sz w:val="24"/>
          <w:szCs w:val="24"/>
          <w:u w:val="single"/>
        </w:rPr>
        <w:t>Pregoeiro</w:t>
      </w:r>
      <w:r>
        <w:rPr>
          <w:rFonts w:ascii="Times New Roman" w:eastAsia="Times New Roman" w:hAnsi="Times New Roman" w:cs="Times New Roman"/>
          <w:b/>
          <w:color w:val="00B050"/>
          <w:sz w:val="24"/>
          <w:szCs w:val="24"/>
        </w:rPr>
        <w:t xml:space="preserve"> nos autos do processo de licitação. Nessa situação o aviso de suspensão será realizado mediante campo próprio do sistema </w:t>
      </w:r>
      <w:r w:rsidRPr="0039755F">
        <w:rPr>
          <w:rFonts w:ascii="Times New Roman" w:eastAsia="Times New Roman" w:hAnsi="Times New Roman" w:cs="Times New Roman"/>
          <w:b/>
          <w:color w:val="00B050"/>
          <w:sz w:val="24"/>
          <w:szCs w:val="24"/>
        </w:rPr>
        <w:t>eletrônico oficial util</w:t>
      </w:r>
      <w:r w:rsidRPr="0039755F">
        <w:rPr>
          <w:rFonts w:ascii="Times New Roman" w:eastAsia="Times New Roman" w:hAnsi="Times New Roman" w:cs="Times New Roman"/>
          <w:b/>
          <w:color w:val="00B050"/>
          <w:sz w:val="24"/>
          <w:szCs w:val="24"/>
        </w:rPr>
        <w:t xml:space="preserve">izado no certame, bem como disponibilizado na página </w:t>
      </w:r>
      <w:r w:rsidR="0039755F" w:rsidRPr="0039755F">
        <w:rPr>
          <w:rFonts w:ascii="Times New Roman" w:eastAsia="Times New Roman" w:hAnsi="Times New Roman" w:cs="Times New Roman"/>
          <w:b/>
          <w:i/>
          <w:color w:val="00B050"/>
          <w:sz w:val="24"/>
          <w:szCs w:val="24"/>
          <w:u w:val="single"/>
        </w:rPr>
        <w:t>https://www.ufpb.br/sof/servicos/contratacoes-em-andamento/</w:t>
      </w:r>
      <w:r w:rsidRPr="0039755F">
        <w:rPr>
          <w:rFonts w:ascii="Times New Roman" w:eastAsia="Times New Roman" w:hAnsi="Times New Roman" w:cs="Times New Roman"/>
          <w:b/>
          <w:i/>
          <w:color w:val="00B050"/>
          <w:sz w:val="24"/>
          <w:szCs w:val="24"/>
          <w:u w:val="single"/>
        </w:rPr>
        <w:t>.</w:t>
      </w:r>
      <w:r w:rsidRPr="0039755F">
        <w:rPr>
          <w:rFonts w:ascii="Times New Roman" w:eastAsia="Times New Roman" w:hAnsi="Times New Roman" w:cs="Times New Roman"/>
          <w:b/>
          <w:color w:val="00B050"/>
          <w:sz w:val="24"/>
          <w:szCs w:val="24"/>
          <w:u w:val="single"/>
          <w:vertAlign w:val="superscript"/>
        </w:rPr>
        <w:footnoteReference w:id="115"/>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Acolhida a impugnação, será definida e publicada nova data para a realização do </w:t>
      </w:r>
      <w:r>
        <w:rPr>
          <w:rFonts w:ascii="Times New Roman" w:eastAsia="Times New Roman" w:hAnsi="Times New Roman" w:cs="Times New Roman"/>
          <w:color w:val="000000"/>
          <w:sz w:val="24"/>
          <w:szCs w:val="24"/>
        </w:rPr>
        <w:t>certame.</w:t>
      </w:r>
    </w:p>
    <w:p w:rsidR="008C7EA8" w:rsidRDefault="008C7EA8">
      <w:pPr>
        <w:tabs>
          <w:tab w:val="left" w:pos="1418"/>
        </w:tabs>
        <w:spacing w:line="360" w:lineRule="auto"/>
        <w:jc w:val="both"/>
        <w:rPr>
          <w:rFonts w:ascii="Times New Roman" w:eastAsia="Times New Roman" w:hAnsi="Times New Roman" w:cs="Times New Roman"/>
          <w:sz w:val="24"/>
          <w:szCs w:val="24"/>
        </w:rPr>
      </w:pPr>
    </w:p>
    <w:p w:rsidR="008C7EA8" w:rsidRDefault="007C04D2">
      <w:pPr>
        <w:numPr>
          <w:ilvl w:val="0"/>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000000"/>
          <w:sz w:val="24"/>
          <w:szCs w:val="24"/>
        </w:rPr>
      </w:pPr>
      <w:bookmarkStart w:id="51" w:name="_heading=h.7d5suypls3vr" w:colFirst="0" w:colLast="0"/>
      <w:bookmarkEnd w:id="51"/>
      <w:r>
        <w:rPr>
          <w:rFonts w:ascii="Times New Roman" w:eastAsia="Times New Roman" w:hAnsi="Times New Roman" w:cs="Times New Roman"/>
          <w:b/>
          <w:color w:val="000000"/>
          <w:sz w:val="24"/>
          <w:szCs w:val="24"/>
        </w:rPr>
        <w:t>DAS DISPOSIÇÕES GERAIS</w:t>
      </w:r>
    </w:p>
    <w:p w:rsidR="008C7EA8" w:rsidRDefault="008C7EA8">
      <w:pPr>
        <w:tabs>
          <w:tab w:val="left" w:pos="1418"/>
        </w:tabs>
        <w:spacing w:line="360" w:lineRule="auto"/>
        <w:jc w:val="both"/>
        <w:rPr>
          <w:rFonts w:ascii="Times New Roman" w:eastAsia="Times New Roman" w:hAnsi="Times New Roman" w:cs="Times New Roman"/>
          <w:sz w:val="24"/>
          <w:szCs w:val="24"/>
        </w:rPr>
      </w:pP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Será divulgada ata da sessão pública no sistema eletrônico.</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Não havendo expediente ou ocorrendo qualquer fato superveniente que impeça a realização do certame na data marcada, a sessão será automaticamente transferida para o </w:t>
      </w:r>
      <w:r>
        <w:rPr>
          <w:rFonts w:ascii="Times New Roman" w:eastAsia="Times New Roman" w:hAnsi="Times New Roman" w:cs="Times New Roman"/>
          <w:color w:val="000000"/>
          <w:sz w:val="24"/>
          <w:szCs w:val="24"/>
        </w:rPr>
        <w:lastRenderedPageBreak/>
        <w:t>primeiro dia útil subsequente, no mesmo horário anteriormente estabelecido, desde que não h</w:t>
      </w:r>
      <w:r>
        <w:rPr>
          <w:rFonts w:ascii="Times New Roman" w:eastAsia="Times New Roman" w:hAnsi="Times New Roman" w:cs="Times New Roman"/>
          <w:color w:val="000000"/>
          <w:sz w:val="24"/>
          <w:szCs w:val="24"/>
        </w:rPr>
        <w:t xml:space="preserve">aja comunicação em contrário, pelo </w:t>
      </w:r>
      <w:r>
        <w:rPr>
          <w:rFonts w:ascii="Times New Roman" w:eastAsia="Times New Roman" w:hAnsi="Times New Roman" w:cs="Times New Roman"/>
          <w:b/>
          <w:color w:val="000000"/>
          <w:sz w:val="24"/>
          <w:szCs w:val="24"/>
        </w:rPr>
        <w:t>Pregoeiro.</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Todas as referências de tempo no Edital, no aviso e durante a sessão pública observarão o horário de Brasília – DF.</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homologação do resultado desta licitação não implicará direito à contratação.</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As normas disc</w:t>
      </w:r>
      <w:r>
        <w:rPr>
          <w:rFonts w:ascii="Times New Roman" w:eastAsia="Times New Roman" w:hAnsi="Times New Roman" w:cs="Times New Roman"/>
          <w:color w:val="000000"/>
          <w:sz w:val="24"/>
          <w:szCs w:val="24"/>
        </w:rPr>
        <w:t>iplinadoras da licitação serão sempre interpretadas em favor da ampliação da disputa entre os interessados, desde que não comprometam o interesse da Administração, o princípio da isonomia, a finalidade e a segurança da contratação.</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Os licitantes assumem to</w:t>
      </w:r>
      <w:r>
        <w:rPr>
          <w:rFonts w:ascii="Times New Roman" w:eastAsia="Times New Roman" w:hAnsi="Times New Roman" w:cs="Times New Roman"/>
          <w:color w:val="000000"/>
          <w:sz w:val="24"/>
          <w:szCs w:val="24"/>
        </w:rPr>
        <w:t>dos os custos de preparação e apresentação de suas propostas e a Administração não será, em nenhum caso, responsável por esses custos, independentemente da condução ou do resultado do processo licitatório.</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Na contagem dos prazos estabelecidos neste Edital </w:t>
      </w:r>
      <w:r>
        <w:rPr>
          <w:rFonts w:ascii="Times New Roman" w:eastAsia="Times New Roman" w:hAnsi="Times New Roman" w:cs="Times New Roman"/>
          <w:color w:val="000000"/>
          <w:sz w:val="24"/>
          <w:szCs w:val="24"/>
        </w:rPr>
        <w:t>e seus anexos, excluir-se-á o dia do início e incluir-se-á o do vencimento. Só se iniciam e vencem os prazos em dias de expediente na Administração.</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 desatendimento de exigências formais não essenciais não importará o afastamento do licitante, desde que s</w:t>
      </w:r>
      <w:r>
        <w:rPr>
          <w:rFonts w:ascii="Times New Roman" w:eastAsia="Times New Roman" w:hAnsi="Times New Roman" w:cs="Times New Roman"/>
          <w:color w:val="000000"/>
          <w:sz w:val="24"/>
          <w:szCs w:val="24"/>
        </w:rPr>
        <w:t>eja possível o aproveitamento do ato, observados os princípios da isonomia e do interesse público.</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Em caso de divergência entre disposições deste Edital e de seus anexos ou demais peças que compõem o processo, prevalecerá as deste Edital.</w:t>
      </w:r>
    </w:p>
    <w:p w:rsidR="008C7EA8" w:rsidRDefault="007C04D2">
      <w:pPr>
        <w:numPr>
          <w:ilvl w:val="2"/>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Em caso de diverg</w:t>
      </w:r>
      <w:r>
        <w:rPr>
          <w:rFonts w:ascii="Times New Roman" w:eastAsia="Times New Roman" w:hAnsi="Times New Roman" w:cs="Times New Roman"/>
          <w:b/>
          <w:color w:val="FF0000"/>
          <w:sz w:val="24"/>
          <w:szCs w:val="24"/>
        </w:rPr>
        <w:t xml:space="preserve">ência entre as propostas anexadas e os lances, prevalecerão os últimos, ressalvada a alteração de proposta eventualmente realizada após negociação conduzida pelo </w:t>
      </w:r>
      <w:r>
        <w:rPr>
          <w:rFonts w:ascii="Times New Roman" w:eastAsia="Times New Roman" w:hAnsi="Times New Roman" w:cs="Times New Roman"/>
          <w:b/>
          <w:color w:val="FF0000"/>
          <w:sz w:val="24"/>
          <w:szCs w:val="24"/>
          <w:u w:val="single"/>
        </w:rPr>
        <w:t>Pregoeiro</w:t>
      </w:r>
      <w:r>
        <w:rPr>
          <w:b/>
          <w:color w:val="FF0000"/>
          <w:vertAlign w:val="superscript"/>
        </w:rPr>
        <w:footnoteReference w:id="116"/>
      </w:r>
      <w:r>
        <w:rPr>
          <w:rFonts w:ascii="Times New Roman" w:eastAsia="Times New Roman" w:hAnsi="Times New Roman" w:cs="Times New Roman"/>
          <w:b/>
          <w:color w:val="FF0000"/>
          <w:sz w:val="24"/>
          <w:szCs w:val="24"/>
        </w:rPr>
        <w:t>.</w:t>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 Edital e seus anexos estão disponíveis, na íntegra, no Portal Nacional de Contra</w:t>
      </w:r>
      <w:r>
        <w:rPr>
          <w:rFonts w:ascii="Times New Roman" w:eastAsia="Times New Roman" w:hAnsi="Times New Roman" w:cs="Times New Roman"/>
          <w:color w:val="000000"/>
          <w:sz w:val="24"/>
          <w:szCs w:val="24"/>
        </w:rPr>
        <w:t>tações Públicas (PNCP) e no endereço eletrônico:</w:t>
      </w:r>
      <w:r>
        <w:rPr>
          <w:rFonts w:ascii="Times New Roman" w:eastAsia="Times New Roman" w:hAnsi="Times New Roman" w:cs="Times New Roman"/>
          <w:b/>
          <w:color w:val="000000"/>
          <w:sz w:val="24"/>
          <w:szCs w:val="24"/>
        </w:rPr>
        <w:t xml:space="preserve"> </w:t>
      </w:r>
      <w:r w:rsidR="0039755F" w:rsidRPr="0039755F">
        <w:rPr>
          <w:rFonts w:ascii="Times New Roman" w:eastAsia="Times New Roman" w:hAnsi="Times New Roman" w:cs="Times New Roman"/>
          <w:b/>
          <w:i/>
          <w:color w:val="0070C0"/>
          <w:sz w:val="24"/>
          <w:szCs w:val="24"/>
          <w:u w:val="single"/>
        </w:rPr>
        <w:t>https://www.ufpb.br/sof/servicos/contratacoes-em-andamento/</w:t>
      </w:r>
      <w:r w:rsidRPr="0039755F">
        <w:rPr>
          <w:rFonts w:ascii="Times New Roman" w:eastAsia="Times New Roman" w:hAnsi="Times New Roman" w:cs="Times New Roman"/>
          <w:sz w:val="24"/>
          <w:szCs w:val="24"/>
          <w:u w:val="single"/>
        </w:rPr>
        <w:t>.</w:t>
      </w:r>
    </w:p>
    <w:p w:rsidR="008C7EA8" w:rsidRDefault="007C04D2">
      <w:pPr>
        <w:spacing w:line="36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color w:val="000000"/>
          <w:sz w:val="24"/>
          <w:szCs w:val="24"/>
        </w:rPr>
        <w:t>16.10.1</w:t>
      </w:r>
      <w:r>
        <w:rPr>
          <w:rFonts w:ascii="Times New Roman" w:eastAsia="Times New Roman" w:hAnsi="Times New Roman" w:cs="Times New Roman"/>
          <w:color w:val="000000"/>
          <w:sz w:val="24"/>
          <w:szCs w:val="24"/>
        </w:rPr>
        <w:tab/>
      </w:r>
      <w:r>
        <w:rPr>
          <w:rFonts w:ascii="Times New Roman" w:eastAsia="Times New Roman" w:hAnsi="Times New Roman" w:cs="Times New Roman"/>
          <w:b/>
          <w:color w:val="FF0000"/>
          <w:sz w:val="24"/>
          <w:szCs w:val="24"/>
        </w:rPr>
        <w:t xml:space="preserve">O licitante deverá apresentar Carta-Proposta (conforme modelo do Anexo 06 deste Edital), contendo obrigatoriamente meios de contatos válidos, tais como e-mail, </w:t>
      </w:r>
      <w:r>
        <w:rPr>
          <w:rFonts w:ascii="Times New Roman" w:eastAsia="Times New Roman" w:hAnsi="Times New Roman" w:cs="Times New Roman"/>
          <w:b/>
          <w:color w:val="FF0000"/>
          <w:sz w:val="24"/>
          <w:szCs w:val="24"/>
        </w:rPr>
        <w:lastRenderedPageBreak/>
        <w:t xml:space="preserve">telefone e </w:t>
      </w:r>
      <w:r>
        <w:rPr>
          <w:rFonts w:ascii="Times New Roman" w:eastAsia="Times New Roman" w:hAnsi="Times New Roman" w:cs="Times New Roman"/>
          <w:b/>
          <w:i/>
          <w:color w:val="FF0000"/>
          <w:sz w:val="24"/>
          <w:szCs w:val="24"/>
        </w:rPr>
        <w:t>WhatsApp</w:t>
      </w:r>
      <w:r>
        <w:rPr>
          <w:rFonts w:ascii="Times New Roman" w:eastAsia="Times New Roman" w:hAnsi="Times New Roman" w:cs="Times New Roman"/>
          <w:b/>
          <w:color w:val="FF0000"/>
          <w:sz w:val="24"/>
          <w:szCs w:val="24"/>
        </w:rPr>
        <w:t>, para fins de utilização como formas de comunicação para utilização posterio</w:t>
      </w:r>
      <w:r>
        <w:rPr>
          <w:rFonts w:ascii="Times New Roman" w:eastAsia="Times New Roman" w:hAnsi="Times New Roman" w:cs="Times New Roman"/>
          <w:b/>
          <w:color w:val="FF0000"/>
          <w:sz w:val="24"/>
          <w:szCs w:val="24"/>
        </w:rPr>
        <w:t>r à conclusão do procedimento licitatório.</w:t>
      </w:r>
      <w:r>
        <w:rPr>
          <w:rFonts w:ascii="Times New Roman" w:eastAsia="Times New Roman" w:hAnsi="Times New Roman" w:cs="Times New Roman"/>
          <w:b/>
          <w:color w:val="FF0000"/>
          <w:sz w:val="24"/>
          <w:szCs w:val="24"/>
          <w:vertAlign w:val="superscript"/>
        </w:rPr>
        <w:footnoteReference w:id="117"/>
      </w:r>
    </w:p>
    <w:p w:rsidR="008C7EA8" w:rsidRDefault="007C04D2">
      <w:pPr>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ind w:left="0" w:firstLine="0"/>
        <w:jc w:val="both"/>
        <w:rPr>
          <w:rFonts w:ascii="Times New Roman" w:eastAsia="Times New Roman" w:hAnsi="Times New Roman" w:cs="Times New Roman"/>
          <w:color w:val="000000"/>
          <w:sz w:val="24"/>
          <w:szCs w:val="24"/>
        </w:rPr>
      </w:pPr>
      <w:bookmarkStart w:id="53" w:name="_heading=h.6fk2p2ucuvdv" w:colFirst="0" w:colLast="0"/>
      <w:bookmarkEnd w:id="53"/>
      <w:r>
        <w:rPr>
          <w:rFonts w:ascii="Times New Roman" w:eastAsia="Times New Roman" w:hAnsi="Times New Roman" w:cs="Times New Roman"/>
          <w:color w:val="000000"/>
          <w:sz w:val="24"/>
          <w:szCs w:val="24"/>
        </w:rPr>
        <w:t xml:space="preserve">Integram este Edital, para todos os fins e efeitos, os seguintes </w:t>
      </w:r>
      <w:r>
        <w:rPr>
          <w:rFonts w:ascii="Times New Roman" w:eastAsia="Times New Roman" w:hAnsi="Times New Roman" w:cs="Times New Roman"/>
          <w:b/>
          <w:color w:val="000000"/>
          <w:sz w:val="24"/>
          <w:szCs w:val="24"/>
          <w:u w:val="single"/>
        </w:rPr>
        <w:t>anexos:</w:t>
      </w: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 w:val="left" w:pos="3119"/>
        </w:tabs>
        <w:spacing w:line="360" w:lineRule="auto"/>
        <w:jc w:val="both"/>
        <w:rPr>
          <w:rFonts w:ascii="Times New Roman" w:eastAsia="Times New Roman" w:hAnsi="Times New Roman" w:cs="Times New Roman"/>
          <w:b/>
          <w:color w:val="000000"/>
          <w:sz w:val="24"/>
          <w:szCs w:val="24"/>
          <w:highlight w:val="yellow"/>
        </w:rPr>
      </w:pP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 w:val="left" w:pos="3119"/>
        </w:tabs>
        <w:spacing w:line="360" w:lineRule="auto"/>
        <w:jc w:val="both"/>
        <w:rPr>
          <w:rFonts w:ascii="Times New Roman" w:eastAsia="Times New Roman" w:hAnsi="Times New Roman" w:cs="Times New Roman"/>
          <w:b/>
          <w:color w:val="000000"/>
          <w:sz w:val="24"/>
          <w:szCs w:val="24"/>
          <w:highlight w:val="white"/>
        </w:rPr>
      </w:pPr>
      <w:r>
        <w:rPr>
          <w:rFonts w:ascii="Times New Roman" w:eastAsia="Times New Roman" w:hAnsi="Times New Roman" w:cs="Times New Roman"/>
          <w:b/>
          <w:sz w:val="24"/>
          <w:szCs w:val="24"/>
          <w:highlight w:val="white"/>
        </w:rPr>
        <w:t>16.11.1</w:t>
      </w:r>
      <w:r>
        <w:rPr>
          <w:rFonts w:ascii="Times New Roman" w:eastAsia="Times New Roman" w:hAnsi="Times New Roman" w:cs="Times New Roman"/>
          <w:b/>
          <w:sz w:val="24"/>
          <w:szCs w:val="24"/>
          <w:highlight w:val="white"/>
        </w:rPr>
        <w:tab/>
      </w:r>
      <w:r>
        <w:rPr>
          <w:rFonts w:ascii="Times New Roman" w:eastAsia="Times New Roman" w:hAnsi="Times New Roman" w:cs="Times New Roman"/>
          <w:b/>
          <w:color w:val="000000"/>
          <w:sz w:val="24"/>
          <w:szCs w:val="24"/>
          <w:highlight w:val="white"/>
        </w:rPr>
        <w:t xml:space="preserve">ANEXO </w:t>
      </w:r>
      <w:r>
        <w:rPr>
          <w:rFonts w:ascii="Times New Roman" w:eastAsia="Times New Roman" w:hAnsi="Times New Roman" w:cs="Times New Roman"/>
          <w:b/>
          <w:sz w:val="24"/>
          <w:szCs w:val="24"/>
          <w:highlight w:val="white"/>
        </w:rPr>
        <w:t>01-A</w:t>
      </w:r>
      <w:r>
        <w:rPr>
          <w:rFonts w:ascii="Times New Roman" w:eastAsia="Times New Roman" w:hAnsi="Times New Roman" w:cs="Times New Roman"/>
          <w:b/>
          <w:color w:val="000000"/>
          <w:sz w:val="24"/>
          <w:szCs w:val="24"/>
          <w:highlight w:val="white"/>
        </w:rPr>
        <w:tab/>
        <w:t>Documento de Formalização da Demanda;</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 w:val="left" w:pos="3119"/>
        </w:tabs>
        <w:spacing w:line="360" w:lineRule="auto"/>
        <w:jc w:val="both"/>
        <w:rPr>
          <w:rFonts w:ascii="Times New Roman" w:eastAsia="Times New Roman" w:hAnsi="Times New Roman" w:cs="Times New Roman"/>
          <w:b/>
          <w:color w:val="000000"/>
          <w:sz w:val="24"/>
          <w:szCs w:val="24"/>
          <w:highlight w:val="white"/>
        </w:rPr>
      </w:pPr>
      <w:r>
        <w:rPr>
          <w:rFonts w:ascii="Times New Roman" w:eastAsia="Times New Roman" w:hAnsi="Times New Roman" w:cs="Times New Roman"/>
          <w:b/>
          <w:sz w:val="24"/>
          <w:szCs w:val="24"/>
          <w:highlight w:val="white"/>
        </w:rPr>
        <w:t>16.11.2</w:t>
      </w:r>
      <w:r>
        <w:rPr>
          <w:rFonts w:ascii="Times New Roman" w:eastAsia="Times New Roman" w:hAnsi="Times New Roman" w:cs="Times New Roman"/>
          <w:b/>
          <w:sz w:val="24"/>
          <w:szCs w:val="24"/>
          <w:highlight w:val="white"/>
        </w:rPr>
        <w:tab/>
        <w:t>ANEXO 01-B</w:t>
      </w:r>
      <w:r>
        <w:rPr>
          <w:rFonts w:ascii="Times New Roman" w:eastAsia="Times New Roman" w:hAnsi="Times New Roman" w:cs="Times New Roman"/>
          <w:b/>
          <w:sz w:val="24"/>
          <w:szCs w:val="24"/>
          <w:highlight w:val="white"/>
        </w:rPr>
        <w:tab/>
      </w:r>
      <w:r>
        <w:rPr>
          <w:rFonts w:ascii="Times New Roman" w:eastAsia="Times New Roman" w:hAnsi="Times New Roman" w:cs="Times New Roman"/>
          <w:b/>
          <w:color w:val="000000"/>
          <w:sz w:val="24"/>
          <w:szCs w:val="24"/>
          <w:highlight w:val="white"/>
        </w:rPr>
        <w:t>Estudo Técnico Preliminar;</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 w:val="left" w:pos="3119"/>
        </w:tabs>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highlight w:val="white"/>
        </w:rPr>
        <w:t>16.11.3</w:t>
      </w:r>
      <w:r>
        <w:rPr>
          <w:rFonts w:ascii="Times New Roman" w:eastAsia="Times New Roman" w:hAnsi="Times New Roman" w:cs="Times New Roman"/>
          <w:b/>
          <w:sz w:val="24"/>
          <w:szCs w:val="24"/>
          <w:highlight w:val="white"/>
        </w:rPr>
        <w:tab/>
      </w:r>
      <w:r>
        <w:rPr>
          <w:rFonts w:ascii="Times New Roman" w:eastAsia="Times New Roman" w:hAnsi="Times New Roman" w:cs="Times New Roman"/>
          <w:b/>
          <w:color w:val="000000"/>
          <w:sz w:val="24"/>
          <w:szCs w:val="24"/>
          <w:highlight w:val="white"/>
        </w:rPr>
        <w:t xml:space="preserve">ANEXO </w:t>
      </w:r>
      <w:r>
        <w:rPr>
          <w:rFonts w:ascii="Times New Roman" w:eastAsia="Times New Roman" w:hAnsi="Times New Roman" w:cs="Times New Roman"/>
          <w:b/>
          <w:sz w:val="24"/>
          <w:szCs w:val="24"/>
          <w:highlight w:val="white"/>
        </w:rPr>
        <w:t>01-C</w:t>
      </w:r>
      <w:r>
        <w:rPr>
          <w:rFonts w:ascii="Times New Roman" w:eastAsia="Times New Roman" w:hAnsi="Times New Roman" w:cs="Times New Roman"/>
          <w:b/>
          <w:color w:val="000000"/>
          <w:sz w:val="24"/>
          <w:szCs w:val="24"/>
          <w:highlight w:val="white"/>
        </w:rPr>
        <w:tab/>
      </w:r>
      <w:r>
        <w:rPr>
          <w:rFonts w:ascii="Times New Roman" w:eastAsia="Times New Roman" w:hAnsi="Times New Roman" w:cs="Times New Roman"/>
          <w:b/>
          <w:color w:val="000000"/>
          <w:sz w:val="24"/>
          <w:szCs w:val="24"/>
        </w:rPr>
        <w:t>Matriz de Gerenciamento de Riscos;</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 w:val="left" w:pos="3119"/>
        </w:tabs>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highlight w:val="white"/>
        </w:rPr>
        <w:t>16.11.4</w:t>
      </w:r>
      <w:r>
        <w:rPr>
          <w:rFonts w:ascii="Times New Roman" w:eastAsia="Times New Roman" w:hAnsi="Times New Roman" w:cs="Times New Roman"/>
          <w:b/>
          <w:sz w:val="24"/>
          <w:szCs w:val="24"/>
          <w:highlight w:val="white"/>
        </w:rPr>
        <w:tab/>
      </w:r>
      <w:r>
        <w:rPr>
          <w:rFonts w:ascii="Times New Roman" w:eastAsia="Times New Roman" w:hAnsi="Times New Roman" w:cs="Times New Roman"/>
          <w:b/>
          <w:color w:val="000000"/>
          <w:sz w:val="24"/>
          <w:szCs w:val="24"/>
          <w:highlight w:val="white"/>
        </w:rPr>
        <w:t xml:space="preserve">ANEXO </w:t>
      </w:r>
      <w:r>
        <w:rPr>
          <w:rFonts w:ascii="Times New Roman" w:eastAsia="Times New Roman" w:hAnsi="Times New Roman" w:cs="Times New Roman"/>
          <w:b/>
          <w:sz w:val="24"/>
          <w:szCs w:val="24"/>
          <w:highlight w:val="white"/>
        </w:rPr>
        <w:t>01-D</w:t>
      </w:r>
      <w:r>
        <w:rPr>
          <w:rFonts w:ascii="Times New Roman" w:eastAsia="Times New Roman" w:hAnsi="Times New Roman" w:cs="Times New Roman"/>
          <w:b/>
          <w:color w:val="000000"/>
          <w:sz w:val="24"/>
          <w:szCs w:val="24"/>
          <w:highlight w:val="white"/>
        </w:rPr>
        <w:tab/>
      </w:r>
      <w:r>
        <w:rPr>
          <w:rFonts w:ascii="Times New Roman" w:eastAsia="Times New Roman" w:hAnsi="Times New Roman" w:cs="Times New Roman"/>
          <w:b/>
          <w:color w:val="000000"/>
          <w:sz w:val="24"/>
          <w:szCs w:val="24"/>
        </w:rPr>
        <w:t>Termo de Referência;</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 w:val="left" w:pos="3119"/>
        </w:tabs>
        <w:spacing w:line="360" w:lineRule="auto"/>
        <w:jc w:val="both"/>
        <w:rPr>
          <w:rFonts w:ascii="Times New Roman" w:eastAsia="Times New Roman" w:hAnsi="Times New Roman" w:cs="Times New Roman"/>
          <w:b/>
          <w:color w:val="000000"/>
          <w:sz w:val="24"/>
          <w:szCs w:val="24"/>
          <w:highlight w:val="white"/>
        </w:rPr>
      </w:pPr>
      <w:r>
        <w:rPr>
          <w:rFonts w:ascii="Times New Roman" w:eastAsia="Times New Roman" w:hAnsi="Times New Roman" w:cs="Times New Roman"/>
          <w:b/>
          <w:color w:val="000000"/>
          <w:sz w:val="24"/>
          <w:szCs w:val="24"/>
        </w:rPr>
        <w:t>16.11.5</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highlight w:val="white"/>
        </w:rPr>
        <w:t xml:space="preserve">ANEXO </w:t>
      </w:r>
      <w:r>
        <w:rPr>
          <w:rFonts w:ascii="Times New Roman" w:eastAsia="Times New Roman" w:hAnsi="Times New Roman" w:cs="Times New Roman"/>
          <w:b/>
          <w:sz w:val="24"/>
          <w:szCs w:val="24"/>
          <w:highlight w:val="white"/>
        </w:rPr>
        <w:t>02</w:t>
      </w:r>
      <w:r>
        <w:rPr>
          <w:rFonts w:ascii="Times New Roman" w:eastAsia="Times New Roman" w:hAnsi="Times New Roman" w:cs="Times New Roman"/>
          <w:b/>
          <w:color w:val="000000"/>
          <w:sz w:val="24"/>
          <w:szCs w:val="24"/>
          <w:highlight w:val="white"/>
        </w:rPr>
        <w:tab/>
      </w:r>
      <w:r>
        <w:rPr>
          <w:rFonts w:ascii="Times New Roman" w:eastAsia="Times New Roman" w:hAnsi="Times New Roman" w:cs="Times New Roman"/>
          <w:b/>
          <w:sz w:val="24"/>
          <w:szCs w:val="24"/>
          <w:highlight w:val="white"/>
        </w:rPr>
        <w:t>Declaração de Compromisso com a Sustentabilidade e às Normas de Proteção ao Meio Ambiente</w:t>
      </w:r>
      <w:r>
        <w:rPr>
          <w:rFonts w:ascii="Times New Roman" w:eastAsia="Times New Roman" w:hAnsi="Times New Roman" w:cs="Times New Roman"/>
          <w:b/>
          <w:color w:val="000000"/>
          <w:sz w:val="24"/>
          <w:szCs w:val="24"/>
          <w:highlight w:val="white"/>
        </w:rPr>
        <w:t>;</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 w:val="left" w:pos="3119"/>
        </w:tabs>
        <w:spacing w:line="360" w:lineRule="auto"/>
        <w:jc w:val="both"/>
        <w:rPr>
          <w:rFonts w:ascii="Times New Roman" w:eastAsia="Times New Roman" w:hAnsi="Times New Roman" w:cs="Times New Roman"/>
          <w:b/>
          <w:color w:val="000000"/>
          <w:sz w:val="24"/>
          <w:szCs w:val="24"/>
          <w:highlight w:val="white"/>
        </w:rPr>
      </w:pPr>
      <w:r>
        <w:rPr>
          <w:rFonts w:ascii="Times New Roman" w:eastAsia="Times New Roman" w:hAnsi="Times New Roman" w:cs="Times New Roman"/>
          <w:b/>
          <w:sz w:val="24"/>
          <w:szCs w:val="24"/>
          <w:highlight w:val="white"/>
        </w:rPr>
        <w:t>16.11.6</w:t>
      </w:r>
      <w:r>
        <w:rPr>
          <w:rFonts w:ascii="Times New Roman" w:eastAsia="Times New Roman" w:hAnsi="Times New Roman" w:cs="Times New Roman"/>
          <w:b/>
          <w:sz w:val="24"/>
          <w:szCs w:val="24"/>
          <w:highlight w:val="white"/>
        </w:rPr>
        <w:tab/>
        <w:t>ANEXO 03</w:t>
      </w:r>
      <w:r>
        <w:rPr>
          <w:rFonts w:ascii="Times New Roman" w:eastAsia="Times New Roman" w:hAnsi="Times New Roman" w:cs="Times New Roman"/>
          <w:b/>
          <w:sz w:val="24"/>
          <w:szCs w:val="24"/>
          <w:highlight w:val="white"/>
        </w:rPr>
        <w:tab/>
      </w:r>
      <w:r>
        <w:rPr>
          <w:rFonts w:ascii="Times New Roman" w:eastAsia="Times New Roman" w:hAnsi="Times New Roman" w:cs="Times New Roman"/>
          <w:b/>
          <w:color w:val="000000"/>
          <w:sz w:val="24"/>
          <w:szCs w:val="24"/>
          <w:highlight w:val="white"/>
        </w:rPr>
        <w:t>Declaração de Vedação ao Nepotismo;</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 w:val="left" w:pos="3119"/>
        </w:tabs>
        <w:spacing w:line="360" w:lineRule="auto"/>
        <w:jc w:val="both"/>
        <w:rPr>
          <w:rFonts w:ascii="Times New Roman" w:eastAsia="Times New Roman" w:hAnsi="Times New Roman" w:cs="Times New Roman"/>
          <w:b/>
          <w:color w:val="000000"/>
          <w:sz w:val="24"/>
          <w:szCs w:val="24"/>
          <w:highlight w:val="white"/>
        </w:rPr>
      </w:pPr>
      <w:r>
        <w:rPr>
          <w:rFonts w:ascii="Times New Roman" w:eastAsia="Times New Roman" w:hAnsi="Times New Roman" w:cs="Times New Roman"/>
          <w:b/>
          <w:sz w:val="24"/>
          <w:szCs w:val="24"/>
          <w:highlight w:val="white"/>
        </w:rPr>
        <w:t>16.11.7</w:t>
      </w:r>
      <w:r>
        <w:rPr>
          <w:rFonts w:ascii="Times New Roman" w:eastAsia="Times New Roman" w:hAnsi="Times New Roman" w:cs="Times New Roman"/>
          <w:b/>
          <w:sz w:val="24"/>
          <w:szCs w:val="24"/>
          <w:highlight w:val="white"/>
        </w:rPr>
        <w:tab/>
      </w:r>
      <w:r>
        <w:rPr>
          <w:rFonts w:ascii="Times New Roman" w:eastAsia="Times New Roman" w:hAnsi="Times New Roman" w:cs="Times New Roman"/>
          <w:b/>
          <w:color w:val="000000"/>
          <w:sz w:val="24"/>
          <w:szCs w:val="24"/>
          <w:highlight w:val="white"/>
        </w:rPr>
        <w:t xml:space="preserve">ANEXO </w:t>
      </w:r>
      <w:r>
        <w:rPr>
          <w:rFonts w:ascii="Times New Roman" w:eastAsia="Times New Roman" w:hAnsi="Times New Roman" w:cs="Times New Roman"/>
          <w:b/>
          <w:sz w:val="24"/>
          <w:szCs w:val="24"/>
          <w:highlight w:val="white"/>
        </w:rPr>
        <w:t>04-A</w:t>
      </w:r>
      <w:r>
        <w:rPr>
          <w:rFonts w:ascii="Times New Roman" w:eastAsia="Times New Roman" w:hAnsi="Times New Roman" w:cs="Times New Roman"/>
          <w:b/>
          <w:sz w:val="24"/>
          <w:szCs w:val="24"/>
          <w:highlight w:val="white"/>
        </w:rPr>
        <w:tab/>
        <w:t>T</w:t>
      </w:r>
      <w:r>
        <w:rPr>
          <w:rFonts w:ascii="Times New Roman" w:eastAsia="Times New Roman" w:hAnsi="Times New Roman" w:cs="Times New Roman"/>
          <w:b/>
          <w:sz w:val="24"/>
          <w:szCs w:val="24"/>
          <w:highlight w:val="white"/>
        </w:rPr>
        <w:t>ermo de Vistoria</w:t>
      </w:r>
      <w:r>
        <w:rPr>
          <w:rFonts w:ascii="Times New Roman" w:eastAsia="Times New Roman" w:hAnsi="Times New Roman" w:cs="Times New Roman"/>
          <w:b/>
          <w:color w:val="000000"/>
          <w:sz w:val="24"/>
          <w:szCs w:val="24"/>
          <w:highlight w:val="white"/>
        </w:rPr>
        <w:t>;</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 w:val="left" w:pos="3119"/>
        </w:tabs>
        <w:spacing w:line="360" w:lineRule="auto"/>
        <w:jc w:val="both"/>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16.11.8</w:t>
      </w:r>
      <w:r>
        <w:rPr>
          <w:rFonts w:ascii="Times New Roman" w:eastAsia="Times New Roman" w:hAnsi="Times New Roman" w:cs="Times New Roman"/>
          <w:b/>
          <w:sz w:val="24"/>
          <w:szCs w:val="24"/>
          <w:highlight w:val="white"/>
        </w:rPr>
        <w:tab/>
      </w:r>
      <w:r>
        <w:rPr>
          <w:rFonts w:ascii="Times New Roman" w:eastAsia="Times New Roman" w:hAnsi="Times New Roman" w:cs="Times New Roman"/>
          <w:b/>
          <w:color w:val="000000"/>
          <w:sz w:val="24"/>
          <w:szCs w:val="24"/>
          <w:highlight w:val="white"/>
        </w:rPr>
        <w:t xml:space="preserve">ANEXO </w:t>
      </w:r>
      <w:r>
        <w:rPr>
          <w:rFonts w:ascii="Times New Roman" w:eastAsia="Times New Roman" w:hAnsi="Times New Roman" w:cs="Times New Roman"/>
          <w:b/>
          <w:sz w:val="24"/>
          <w:szCs w:val="24"/>
          <w:highlight w:val="white"/>
        </w:rPr>
        <w:t>04-B</w:t>
      </w:r>
      <w:r>
        <w:rPr>
          <w:rFonts w:ascii="Times New Roman" w:eastAsia="Times New Roman" w:hAnsi="Times New Roman" w:cs="Times New Roman"/>
          <w:b/>
          <w:color w:val="000000"/>
          <w:sz w:val="24"/>
          <w:szCs w:val="24"/>
          <w:highlight w:val="white"/>
        </w:rPr>
        <w:tab/>
        <w:t xml:space="preserve">Declaração de Conhecimento das Condições Locais e </w:t>
      </w:r>
      <w:r>
        <w:rPr>
          <w:rFonts w:ascii="Times New Roman" w:eastAsia="Times New Roman" w:hAnsi="Times New Roman" w:cs="Times New Roman"/>
          <w:b/>
          <w:sz w:val="24"/>
          <w:szCs w:val="24"/>
        </w:rPr>
        <w:t xml:space="preserve">Dificuldades na Entrega/Execução de </w:t>
      </w:r>
      <w:proofErr w:type="gramStart"/>
      <w:r>
        <w:rPr>
          <w:rFonts w:ascii="Times New Roman" w:eastAsia="Times New Roman" w:hAnsi="Times New Roman" w:cs="Times New Roman"/>
          <w:b/>
          <w:sz w:val="24"/>
          <w:szCs w:val="24"/>
        </w:rPr>
        <w:t>Bem(</w:t>
      </w:r>
      <w:proofErr w:type="spellStart"/>
      <w:proofErr w:type="gramEnd"/>
      <w:r>
        <w:rPr>
          <w:rFonts w:ascii="Times New Roman" w:eastAsia="Times New Roman" w:hAnsi="Times New Roman" w:cs="Times New Roman"/>
          <w:b/>
          <w:sz w:val="24"/>
          <w:szCs w:val="24"/>
        </w:rPr>
        <w:t>ns</w:t>
      </w:r>
      <w:proofErr w:type="spellEnd"/>
      <w:r>
        <w:rPr>
          <w:rFonts w:ascii="Times New Roman" w:eastAsia="Times New Roman" w:hAnsi="Times New Roman" w:cs="Times New Roman"/>
          <w:b/>
          <w:sz w:val="24"/>
          <w:szCs w:val="24"/>
        </w:rPr>
        <w:t>)/Serviço(s)/Obra(s);</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 w:val="left" w:pos="3119"/>
        </w:tabs>
        <w:spacing w:line="360" w:lineRule="auto"/>
        <w:jc w:val="both"/>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16.11.9</w:t>
      </w:r>
      <w:r>
        <w:rPr>
          <w:rFonts w:ascii="Times New Roman" w:eastAsia="Times New Roman" w:hAnsi="Times New Roman" w:cs="Times New Roman"/>
          <w:b/>
          <w:sz w:val="24"/>
          <w:szCs w:val="24"/>
          <w:highlight w:val="white"/>
        </w:rPr>
        <w:tab/>
        <w:t>ANEXO 05</w:t>
      </w:r>
      <w:r>
        <w:rPr>
          <w:rFonts w:ascii="Times New Roman" w:eastAsia="Times New Roman" w:hAnsi="Times New Roman" w:cs="Times New Roman"/>
          <w:b/>
          <w:sz w:val="24"/>
          <w:szCs w:val="24"/>
          <w:highlight w:val="white"/>
        </w:rPr>
        <w:tab/>
        <w:t>Minuta de Termo de Contrato;</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 w:val="left" w:pos="3119"/>
        </w:tabs>
        <w:spacing w:line="360" w:lineRule="auto"/>
        <w:jc w:val="both"/>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16.11.10</w:t>
      </w:r>
      <w:r>
        <w:rPr>
          <w:rFonts w:ascii="Times New Roman" w:eastAsia="Times New Roman" w:hAnsi="Times New Roman" w:cs="Times New Roman"/>
          <w:b/>
          <w:sz w:val="24"/>
          <w:szCs w:val="24"/>
          <w:highlight w:val="white"/>
        </w:rPr>
        <w:tab/>
        <w:t>ANEXO 06</w:t>
      </w:r>
      <w:r>
        <w:rPr>
          <w:rFonts w:ascii="Times New Roman" w:eastAsia="Times New Roman" w:hAnsi="Times New Roman" w:cs="Times New Roman"/>
          <w:b/>
          <w:sz w:val="24"/>
          <w:szCs w:val="24"/>
          <w:highlight w:val="white"/>
        </w:rPr>
        <w:tab/>
        <w:t>Modelo de Carta-Proposta;</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 w:val="left" w:pos="3119"/>
        </w:tabs>
        <w:spacing w:line="360" w:lineRule="auto"/>
        <w:jc w:val="both"/>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16.11.11</w:t>
      </w:r>
      <w:r>
        <w:rPr>
          <w:rFonts w:ascii="Times New Roman" w:eastAsia="Times New Roman" w:hAnsi="Times New Roman" w:cs="Times New Roman"/>
          <w:b/>
          <w:sz w:val="24"/>
          <w:szCs w:val="24"/>
          <w:highlight w:val="white"/>
        </w:rPr>
        <w:tab/>
      </w:r>
      <w:r>
        <w:rPr>
          <w:rFonts w:ascii="Times New Roman" w:eastAsia="Times New Roman" w:hAnsi="Times New Roman" w:cs="Times New Roman"/>
          <w:b/>
          <w:sz w:val="24"/>
          <w:szCs w:val="24"/>
          <w:highlight w:val="white"/>
        </w:rPr>
        <w:t>ANEXO 07</w:t>
      </w:r>
      <w:r>
        <w:rPr>
          <w:rFonts w:ascii="Times New Roman" w:eastAsia="Times New Roman" w:hAnsi="Times New Roman" w:cs="Times New Roman"/>
          <w:b/>
          <w:sz w:val="24"/>
          <w:szCs w:val="24"/>
          <w:highlight w:val="white"/>
        </w:rPr>
        <w:tab/>
        <w:t>Minuta da Ata de Registro de Preços.</w:t>
      </w: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 w:val="left" w:pos="3119"/>
        </w:tabs>
        <w:spacing w:line="360" w:lineRule="auto"/>
        <w:jc w:val="both"/>
        <w:rPr>
          <w:rFonts w:ascii="Times New Roman" w:eastAsia="Times New Roman" w:hAnsi="Times New Roman" w:cs="Times New Roman"/>
          <w:b/>
          <w:sz w:val="24"/>
          <w:szCs w:val="24"/>
        </w:rPr>
      </w:pP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 w:val="left" w:pos="3119"/>
        </w:tabs>
        <w:spacing w:line="360" w:lineRule="auto"/>
        <w:jc w:val="both"/>
        <w:rPr>
          <w:rFonts w:ascii="Times New Roman" w:eastAsia="Times New Roman" w:hAnsi="Times New Roman" w:cs="Times New Roman"/>
          <w:b/>
          <w:sz w:val="24"/>
          <w:szCs w:val="24"/>
        </w:rPr>
      </w:pPr>
    </w:p>
    <w:p w:rsidR="008C7EA8" w:rsidRDefault="007C04D2">
      <w:pPr>
        <w:tabs>
          <w:tab w:val="left" w:pos="1418"/>
        </w:tabs>
        <w:spacing w:line="360" w:lineRule="auto"/>
        <w:ind w:right="-15"/>
        <w:jc w:val="center"/>
        <w:rPr>
          <w:rFonts w:ascii="Times New Roman" w:eastAsia="Times New Roman" w:hAnsi="Times New Roman" w:cs="Times New Roman"/>
          <w:b/>
          <w:sz w:val="24"/>
          <w:szCs w:val="24"/>
          <w:highlight w:val="white"/>
        </w:rPr>
        <w:sectPr w:rsidR="008C7EA8">
          <w:headerReference w:type="default" r:id="rId46"/>
          <w:headerReference w:type="first" r:id="rId47"/>
          <w:pgSz w:w="11906" w:h="16838"/>
          <w:pgMar w:top="1418" w:right="1274" w:bottom="1702" w:left="1700" w:header="709" w:footer="832" w:gutter="0"/>
          <w:cols w:space="720"/>
          <w:titlePg/>
        </w:sectPr>
      </w:pPr>
      <w:r>
        <w:rPr>
          <w:rFonts w:ascii="Times New Roman" w:eastAsia="Times New Roman" w:hAnsi="Times New Roman" w:cs="Times New Roman"/>
          <w:b/>
          <w:sz w:val="24"/>
          <w:szCs w:val="24"/>
          <w:highlight w:val="white"/>
        </w:rPr>
        <w:t>João Pessoa – PB, 11 de agosto de 2025.</w:t>
      </w:r>
    </w:p>
    <w:p w:rsidR="008C7EA8" w:rsidRDefault="008C7EA8">
      <w:pPr>
        <w:tabs>
          <w:tab w:val="left" w:pos="1418"/>
        </w:tabs>
        <w:spacing w:line="360" w:lineRule="auto"/>
        <w:ind w:right="-15"/>
        <w:jc w:val="center"/>
        <w:rPr>
          <w:rFonts w:ascii="Times New Roman" w:eastAsia="Times New Roman" w:hAnsi="Times New Roman" w:cs="Times New Roman"/>
          <w:b/>
          <w:sz w:val="24"/>
          <w:szCs w:val="24"/>
          <w:highlight w:val="white"/>
        </w:rPr>
        <w:sectPr w:rsidR="008C7EA8">
          <w:headerReference w:type="default" r:id="rId48"/>
          <w:headerReference w:type="first" r:id="rId49"/>
          <w:type w:val="continuous"/>
          <w:pgSz w:w="11906" w:h="16838"/>
          <w:pgMar w:top="1418" w:right="1274" w:bottom="1702" w:left="1700" w:header="709" w:footer="832" w:gutter="0"/>
          <w:cols w:space="720"/>
          <w:titlePg/>
        </w:sectPr>
      </w:pPr>
    </w:p>
    <w:p w:rsidR="008C7EA8" w:rsidRDefault="007C04D2">
      <w:pPr>
        <w:tabs>
          <w:tab w:val="left" w:pos="1418"/>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QUEZIA ALVES DE SOUZA</w:t>
      </w:r>
    </w:p>
    <w:p w:rsidR="008C7EA8" w:rsidRDefault="007C04D2">
      <w:pPr>
        <w:tabs>
          <w:tab w:val="left" w:pos="1418"/>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Superintendente de Orçamento e Finanças</w:t>
      </w:r>
    </w:p>
    <w:p w:rsidR="008C7EA8" w:rsidRDefault="007C04D2">
      <w:pPr>
        <w:tabs>
          <w:tab w:val="left" w:pos="1418"/>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 SIAPE nº 2750285</w:t>
      </w: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s>
        <w:spacing w:line="360" w:lineRule="auto"/>
        <w:jc w:val="both"/>
        <w:rPr>
          <w:rFonts w:ascii="Times New Roman" w:eastAsia="Times New Roman" w:hAnsi="Times New Roman" w:cs="Times New Roman"/>
          <w:color w:val="000000"/>
          <w:sz w:val="24"/>
          <w:szCs w:val="24"/>
        </w:rPr>
      </w:pP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TEREZINHA DOMICIANO DANTAS MARTINS</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Reitora da Universidade Federal da Paraíba</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276" w:lineRule="auto"/>
        <w:jc w:val="center"/>
        <w:rPr>
          <w:rFonts w:ascii="Times New Roman" w:eastAsia="Times New Roman" w:hAnsi="Times New Roman" w:cs="Times New Roman"/>
          <w:b/>
          <w:sz w:val="24"/>
          <w:szCs w:val="24"/>
        </w:rPr>
        <w:sectPr w:rsidR="008C7EA8">
          <w:type w:val="continuous"/>
          <w:pgSz w:w="11906" w:h="16838"/>
          <w:pgMar w:top="1418" w:right="1274" w:bottom="1702" w:left="1700" w:header="709" w:footer="832" w:gutter="0"/>
          <w:cols w:num="2" w:space="720" w:equalWidth="0">
            <w:col w:w="4106" w:space="720"/>
            <w:col w:w="4106" w:space="0"/>
          </w:cols>
        </w:sectPr>
      </w:pPr>
      <w:r>
        <w:rPr>
          <w:rFonts w:ascii="Times New Roman" w:eastAsia="Times New Roman" w:hAnsi="Times New Roman" w:cs="Times New Roman"/>
          <w:b/>
          <w:sz w:val="24"/>
          <w:szCs w:val="24"/>
        </w:rPr>
        <w:t>Mat. SIAPE nº 338087</w:t>
      </w: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jc w:val="both"/>
        <w:rPr>
          <w:rFonts w:ascii="Times New Roman" w:eastAsia="Times New Roman" w:hAnsi="Times New Roman" w:cs="Times New Roman"/>
          <w:sz w:val="24"/>
          <w:szCs w:val="24"/>
        </w:rPr>
      </w:pP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Responsável pela Elaboração do Edital:</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Severino Cidalino de Almeida Neto - Mat. SIAPE nº 2032177.</w:t>
      </w:r>
    </w:p>
    <w:p w:rsidR="008C7EA8" w:rsidRDefault="008C7EA8">
      <w:p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jc w:val="both"/>
        <w:rPr>
          <w:rFonts w:ascii="Times New Roman" w:eastAsia="Times New Roman" w:hAnsi="Times New Roman" w:cs="Times New Roman"/>
          <w:sz w:val="24"/>
          <w:szCs w:val="24"/>
        </w:rPr>
      </w:pP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Responsável pela Revisão do Edital:</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left" w:pos="1418"/>
          <w:tab w:val="left" w:pos="1701"/>
        </w:tabs>
        <w:spacing w:line="360" w:lineRule="auto"/>
        <w:jc w:val="both"/>
        <w:rPr>
          <w:rFonts w:ascii="Times New Roman" w:eastAsia="Times New Roman" w:hAnsi="Times New Roman" w:cs="Times New Roman"/>
          <w:sz w:val="24"/>
          <w:szCs w:val="24"/>
        </w:rPr>
      </w:pPr>
      <w:bookmarkStart w:id="54" w:name="_heading=h.lnu2pd1kbgie" w:colFirst="0" w:colLast="0"/>
      <w:bookmarkEnd w:id="54"/>
      <w:proofErr w:type="spellStart"/>
      <w:r>
        <w:rPr>
          <w:rFonts w:ascii="Times New Roman" w:eastAsia="Times New Roman" w:hAnsi="Times New Roman" w:cs="Times New Roman"/>
          <w:sz w:val="24"/>
          <w:szCs w:val="24"/>
        </w:rPr>
        <w:t>Lucian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Hendyo</w:t>
      </w:r>
      <w:proofErr w:type="spellEnd"/>
      <w:r>
        <w:rPr>
          <w:rFonts w:ascii="Times New Roman" w:eastAsia="Times New Roman" w:hAnsi="Times New Roman" w:cs="Times New Roman"/>
          <w:sz w:val="24"/>
          <w:szCs w:val="24"/>
        </w:rPr>
        <w:t xml:space="preserve"> Max Pereira - Mat. SIAPE nº 1212562.</w:t>
      </w:r>
    </w:p>
    <w:sectPr w:rsidR="008C7EA8">
      <w:type w:val="continuous"/>
      <w:pgSz w:w="11906" w:h="16838"/>
      <w:pgMar w:top="1418" w:right="1274" w:bottom="1702" w:left="1700" w:header="709" w:footer="8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04D2" w:rsidRDefault="007C04D2">
      <w:r>
        <w:separator/>
      </w:r>
    </w:p>
  </w:endnote>
  <w:endnote w:type="continuationSeparator" w:id="0">
    <w:p w:rsidR="007C04D2" w:rsidRDefault="007C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panose1 w:val="00000000000000000000"/>
    <w:charset w:val="00"/>
    <w:family w:val="roman"/>
    <w:notTrueType/>
    <w:pitch w:val="default"/>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A8" w:rsidRDefault="007C04D2">
    <w:pPr>
      <w:pBdr>
        <w:top w:val="single" w:sz="4" w:space="0" w:color="000000"/>
      </w:pBdr>
      <w:tabs>
        <w:tab w:val="center" w:pos="4252"/>
        <w:tab w:val="right" w:pos="8504"/>
      </w:tabs>
      <w:rPr>
        <w:color w:val="000000"/>
        <w:sz w:val="12"/>
        <w:szCs w:val="12"/>
      </w:rPr>
    </w:pPr>
    <w:r>
      <w:rPr>
        <w:color w:val="000000"/>
        <w:sz w:val="12"/>
        <w:szCs w:val="12"/>
      </w:rPr>
      <w:t>Câmara Nacional de Modelos de Licitações e Contratos da Consultoria-Geral da União.</w:t>
    </w:r>
  </w:p>
  <w:p w:rsidR="008C7EA8" w:rsidRDefault="007C04D2">
    <w:pPr>
      <w:pBdr>
        <w:top w:val="single" w:sz="4" w:space="0" w:color="000000"/>
      </w:pBdr>
      <w:tabs>
        <w:tab w:val="center" w:pos="4252"/>
        <w:tab w:val="right" w:pos="8504"/>
      </w:tabs>
      <w:rPr>
        <w:color w:val="000000"/>
        <w:sz w:val="12"/>
        <w:szCs w:val="12"/>
      </w:rPr>
    </w:pPr>
    <w:r>
      <w:rPr>
        <w:color w:val="000000"/>
        <w:sz w:val="12"/>
        <w:szCs w:val="12"/>
      </w:rPr>
      <w:t>Edital modelo – Lei nº 14.133, de 2021.</w:t>
    </w:r>
  </w:p>
  <w:p w:rsidR="008C7EA8" w:rsidRDefault="007C04D2">
    <w:pPr>
      <w:pBdr>
        <w:top w:val="single" w:sz="4" w:space="0" w:color="000000"/>
      </w:pBdr>
      <w:tabs>
        <w:tab w:val="center" w:pos="4252"/>
        <w:tab w:val="right" w:pos="8504"/>
      </w:tabs>
      <w:rPr>
        <w:color w:val="000000"/>
        <w:sz w:val="12"/>
        <w:szCs w:val="12"/>
      </w:rPr>
    </w:pPr>
    <w:r>
      <w:rPr>
        <w:color w:val="000000"/>
        <w:sz w:val="12"/>
        <w:szCs w:val="12"/>
      </w:rPr>
      <w:t>Aprovado pela Secretaria de Gestão e Inovação.</w:t>
    </w:r>
  </w:p>
  <w:p w:rsidR="008C7EA8" w:rsidRDefault="007C04D2">
    <w:pPr>
      <w:pBdr>
        <w:top w:val="single" w:sz="4" w:space="0" w:color="000000"/>
      </w:pBdr>
      <w:tabs>
        <w:tab w:val="center" w:pos="4252"/>
        <w:tab w:val="right" w:pos="8504"/>
      </w:tabs>
      <w:rPr>
        <w:color w:val="000000"/>
        <w:sz w:val="12"/>
        <w:szCs w:val="12"/>
      </w:rPr>
    </w:pPr>
    <w:r>
      <w:rPr>
        <w:color w:val="000000"/>
        <w:sz w:val="12"/>
        <w:szCs w:val="12"/>
      </w:rPr>
      <w:t>Identidade visual pela Secretaria de Gestão e Inovação.</w:t>
    </w:r>
  </w:p>
  <w:p w:rsidR="008C7EA8" w:rsidRDefault="007C04D2">
    <w:pPr>
      <w:pBdr>
        <w:top w:val="single" w:sz="4" w:space="0" w:color="000000"/>
      </w:pBdr>
      <w:tabs>
        <w:tab w:val="center" w:pos="4252"/>
        <w:tab w:val="right" w:pos="8504"/>
      </w:tabs>
      <w:rPr>
        <w:color w:val="000000"/>
        <w:sz w:val="12"/>
        <w:szCs w:val="12"/>
      </w:rPr>
    </w:pPr>
    <w:r>
      <w:rPr>
        <w:color w:val="000000"/>
        <w:sz w:val="12"/>
        <w:szCs w:val="12"/>
      </w:rPr>
      <w:t>Atualização: ABR/2025.</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rPr>
        <w:color w:val="000000"/>
        <w:sz w:val="12"/>
        <w:szCs w:val="12"/>
      </w:rPr>
    </w:pPr>
    <w:r>
      <w:pict>
        <v:rect id="_x0000_i1025" style="width:0;height:1.5pt" o:hralign="center" o:hrstd="t" o:hr="t" fillcolor="#a0a0a0" stroked="f"/>
      </w:pic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rPr>
        <w:color w:val="000000"/>
        <w:sz w:val="12"/>
        <w:szCs w:val="12"/>
      </w:rPr>
    </w:pPr>
    <w:r>
      <w:rPr>
        <w:color w:val="000000"/>
        <w:sz w:val="12"/>
        <w:szCs w:val="12"/>
      </w:rPr>
      <w:t>Câma</w:t>
    </w:r>
    <w:r>
      <w:rPr>
        <w:color w:val="000000"/>
        <w:sz w:val="12"/>
        <w:szCs w:val="12"/>
      </w:rPr>
      <w:t>ra Nacional de Modelos de Licitações e Contratos da Consultoria-Geral da União.</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rPr>
        <w:color w:val="000000"/>
        <w:sz w:val="12"/>
        <w:szCs w:val="12"/>
      </w:rPr>
    </w:pPr>
    <w:r>
      <w:rPr>
        <w:color w:val="000000"/>
        <w:sz w:val="12"/>
        <w:szCs w:val="12"/>
      </w:rPr>
      <w:t>Edital modelo – Lei nº 14.133, de 2021.</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rPr>
        <w:color w:val="000000"/>
        <w:sz w:val="12"/>
        <w:szCs w:val="12"/>
      </w:rPr>
    </w:pPr>
    <w:r>
      <w:rPr>
        <w:color w:val="000000"/>
        <w:sz w:val="12"/>
        <w:szCs w:val="12"/>
      </w:rPr>
      <w:t>Aprovado pela Secretaria de Gestão e Inovação.</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rPr>
        <w:color w:val="000000"/>
        <w:sz w:val="12"/>
        <w:szCs w:val="12"/>
      </w:rPr>
    </w:pPr>
    <w:r>
      <w:rPr>
        <w:color w:val="000000"/>
        <w:sz w:val="12"/>
        <w:szCs w:val="12"/>
      </w:rPr>
      <w:t>Identidade visual pela Secretaria de Gestão e Inovação.</w:t>
    </w:r>
  </w:p>
  <w:p w:rsidR="008C7EA8" w:rsidRDefault="007C04D2">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rPr>
        <w:color w:val="000000"/>
        <w:sz w:val="12"/>
        <w:szCs w:val="12"/>
      </w:rPr>
    </w:pPr>
    <w:r>
      <w:rPr>
        <w:color w:val="000000"/>
        <w:sz w:val="12"/>
        <w:szCs w:val="12"/>
      </w:rPr>
      <w:t>Atualização: ABR/2025.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04D2" w:rsidRDefault="007C04D2">
      <w:r>
        <w:separator/>
      </w:r>
    </w:p>
  </w:footnote>
  <w:footnote w:type="continuationSeparator" w:id="0">
    <w:p w:rsidR="007C04D2" w:rsidRDefault="007C04D2">
      <w:r>
        <w:continuationSeparator/>
      </w:r>
    </w:p>
  </w:footnote>
  <w:footnote w:id="1">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como mero preenchimento das lacunas. Nota explicativa: adequ</w:t>
      </w:r>
      <w:r>
        <w:rPr>
          <w:rFonts w:ascii="Times New Roman" w:eastAsia="Times New Roman" w:hAnsi="Times New Roman" w:cs="Times New Roman"/>
          <w:b/>
          <w:color w:val="BFBFBF"/>
        </w:rPr>
        <w:t>ação do objeto da licitação, conforme item 1.1 do Termo de Referência (Anexo 01-D) do Termo de Referência.</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2">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a presente licitação será dividida por itens, conforme quantitativo e valores do objeto elencados na tabela constante do item 1.1 do Termo de Referência (Anexo 01-D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3">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w:t>
      </w:r>
      <w:r>
        <w:rPr>
          <w:rFonts w:ascii="Times New Roman" w:eastAsia="Times New Roman" w:hAnsi="Times New Roman" w:cs="Times New Roman"/>
          <w:b/>
          <w:color w:val="BFBFBF"/>
        </w:rPr>
        <w:t>smo motivo utilizado no item 1.3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4">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1.3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5">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1.3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6">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w:t>
      </w:r>
      <w:r>
        <w:rPr>
          <w:rFonts w:ascii="Times New Roman" w:eastAsia="Times New Roman" w:hAnsi="Times New Roman" w:cs="Times New Roman"/>
          <w:b/>
          <w:color w:val="BFBFBF"/>
        </w:rPr>
        <w:t>va: o mesmo motivo utilizado no item 1.3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7">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1.3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8">
    <w:p w:rsidR="008C7EA8" w:rsidRDefault="007C04D2">
      <w:pP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incluída. Justificativa: em conformidade com o item 9.1 do Termo de Referência (Anexo 01-D deste Edita</w:t>
      </w:r>
      <w:r>
        <w:rPr>
          <w:rFonts w:ascii="Times New Roman" w:eastAsia="Times New Roman" w:hAnsi="Times New Roman" w:cs="Times New Roman"/>
          <w:b/>
          <w:color w:val="BFBFBF"/>
        </w:rPr>
        <w:t>l).</w:t>
      </w:r>
    </w:p>
    <w:p w:rsidR="008C7EA8" w:rsidRDefault="008C7EA8">
      <w:pPr>
        <w:jc w:val="both"/>
        <w:rPr>
          <w:rFonts w:ascii="Times New Roman" w:eastAsia="Times New Roman" w:hAnsi="Times New Roman" w:cs="Times New Roman"/>
          <w:b/>
          <w:color w:val="BFBFBF"/>
        </w:rPr>
      </w:pPr>
    </w:p>
  </w:footnote>
  <w:footnote w:id="9">
    <w:p w:rsidR="008C7EA8" w:rsidRDefault="007C04D2">
      <w:pP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como mero preenchimento das lacunas. Nota explicativa: como esta licitação é dividida por 66 (sessenta e seis) itens (segundo item 1.2 deste Edital), o valor de cada um deles está dentro da margem de R$ 80.000,00 (oitenta mil reais), referen</w:t>
      </w:r>
      <w:r>
        <w:rPr>
          <w:rFonts w:ascii="Times New Roman" w:eastAsia="Times New Roman" w:hAnsi="Times New Roman" w:cs="Times New Roman"/>
          <w:b/>
          <w:color w:val="BFBFBF"/>
        </w:rPr>
        <w:t xml:space="preserve">tes ao valor máximo permitido para a </w:t>
      </w:r>
      <w:r>
        <w:rPr>
          <w:rFonts w:ascii="Times New Roman" w:eastAsia="Times New Roman" w:hAnsi="Times New Roman" w:cs="Times New Roman"/>
          <w:b/>
          <w:color w:val="BFBFBF"/>
          <w:u w:val="single"/>
        </w:rPr>
        <w:t>participação exclusiva</w:t>
      </w:r>
      <w:r>
        <w:rPr>
          <w:rFonts w:ascii="Times New Roman" w:eastAsia="Times New Roman" w:hAnsi="Times New Roman" w:cs="Times New Roman"/>
          <w:b/>
          <w:color w:val="BFBFBF"/>
        </w:rPr>
        <w:t xml:space="preserve"> destinada às </w:t>
      </w:r>
      <w:r>
        <w:rPr>
          <w:rFonts w:ascii="Times New Roman" w:eastAsia="Times New Roman" w:hAnsi="Times New Roman" w:cs="Times New Roman"/>
          <w:b/>
          <w:color w:val="BFBFBF"/>
          <w:u w:val="single"/>
        </w:rPr>
        <w:t>microempresas (ME’s) e empresas de pequeno porte (EPP’s).</w:t>
      </w:r>
    </w:p>
    <w:p w:rsidR="008C7EA8" w:rsidRDefault="008C7EA8">
      <w:pPr>
        <w:rPr>
          <w:rFonts w:ascii="Times New Roman" w:eastAsia="Times New Roman" w:hAnsi="Times New Roman" w:cs="Times New Roman"/>
          <w:b/>
          <w:color w:val="BFBFBF"/>
        </w:rPr>
      </w:pPr>
    </w:p>
  </w:footnote>
  <w:footnote w:id="10">
    <w:p w:rsidR="008C7EA8" w:rsidRDefault="007C04D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alterada. Justificativa: A Administração vedou a participação das cooperativas, do agricultor familiar, do produto</w:t>
      </w:r>
      <w:r>
        <w:rPr>
          <w:rFonts w:ascii="Times New Roman" w:eastAsia="Times New Roman" w:hAnsi="Times New Roman" w:cs="Times New Roman"/>
          <w:b/>
          <w:color w:val="BFBFBF"/>
        </w:rPr>
        <w:t>r rural pessoa física e do microempreendedor individual (MEI).</w:t>
      </w:r>
    </w:p>
    <w:p w:rsidR="008C7EA8" w:rsidRDefault="007C04D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r>
        <w:rPr>
          <w:rFonts w:ascii="Times New Roman" w:eastAsia="Times New Roman" w:hAnsi="Times New Roman" w:cs="Times New Roman"/>
          <w:b/>
          <w:color w:val="BFBFBF"/>
        </w:rPr>
        <w:t>Quanto a não participação das cooperativas, reza a Súmula TCU nº 281, que “é vedada a participação de cooperativas em licitação quando, pela natureza do serviço ou pelo modo como é usualmente executado no mercado em geral, houver necessidade de subordinaçã</w:t>
      </w:r>
      <w:r>
        <w:rPr>
          <w:rFonts w:ascii="Times New Roman" w:eastAsia="Times New Roman" w:hAnsi="Times New Roman" w:cs="Times New Roman"/>
          <w:b/>
          <w:color w:val="BFBFBF"/>
        </w:rPr>
        <w:t>o jurídica entre o obreiro e o contratado, bem como de pessoalidade e habitualidade”. Por esse motivo, não parece cabível manter o texto padrão da AGU referente a orientações direcionadas a cooperativas.</w:t>
      </w:r>
    </w:p>
    <w:p w:rsidR="008C7EA8" w:rsidRDefault="007C04D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r>
        <w:rPr>
          <w:rFonts w:ascii="Times New Roman" w:eastAsia="Times New Roman" w:hAnsi="Times New Roman" w:cs="Times New Roman"/>
          <w:b/>
          <w:color w:val="BFBFBF"/>
        </w:rPr>
        <w:t>Quanto às figuras do agricultor familiar, do produto</w:t>
      </w:r>
      <w:r>
        <w:rPr>
          <w:rFonts w:ascii="Times New Roman" w:eastAsia="Times New Roman" w:hAnsi="Times New Roman" w:cs="Times New Roman"/>
          <w:b/>
          <w:color w:val="BFBFBF"/>
        </w:rPr>
        <w:t>r rural pessoa física e do microempreendedor individual (MEI), a Administração entende que o objeto da licitação não é passível de execução por tais modelos empresariais, ante a natureza da contratação (isto é, aquisição de materiais). Ademais, o vulto des</w:t>
      </w:r>
      <w:r>
        <w:rPr>
          <w:rFonts w:ascii="Times New Roman" w:eastAsia="Times New Roman" w:hAnsi="Times New Roman" w:cs="Times New Roman"/>
          <w:b/>
          <w:color w:val="BFBFBF"/>
        </w:rPr>
        <w:t>ta contratação é demasiado elevado para estes modelos de empresa.</w:t>
      </w:r>
    </w:p>
    <w:p w:rsidR="008C7EA8" w:rsidRDefault="008C7EA8">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p>
  </w:footnote>
  <w:footnote w:id="11">
    <w:p w:rsidR="008C7EA8" w:rsidRDefault="007C04D2">
      <w:pPr>
        <w:pBdr>
          <w:top w:val="nil"/>
          <w:left w:val="nil"/>
          <w:bottom w:val="nil"/>
          <w:right w:val="nil"/>
          <w:between w:val="nil"/>
        </w:pBdr>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3.6 deste Edital.</w:t>
      </w:r>
    </w:p>
    <w:p w:rsidR="008C7EA8" w:rsidRDefault="008C7EA8">
      <w:pPr>
        <w:pBdr>
          <w:top w:val="nil"/>
          <w:left w:val="nil"/>
          <w:bottom w:val="nil"/>
          <w:right w:val="nil"/>
          <w:between w:val="nil"/>
        </w:pBdr>
        <w:rPr>
          <w:rFonts w:ascii="Times New Roman" w:eastAsia="Times New Roman" w:hAnsi="Times New Roman" w:cs="Times New Roman"/>
          <w:b/>
          <w:color w:val="BFBFBF"/>
        </w:rPr>
      </w:pPr>
    </w:p>
  </w:footnote>
  <w:footnote w:id="12">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como mero preenchimento das lacunas. Nota explicativa: quanto a não participação das cooper</w:t>
      </w:r>
      <w:r>
        <w:rPr>
          <w:rFonts w:ascii="Times New Roman" w:eastAsia="Times New Roman" w:hAnsi="Times New Roman" w:cs="Times New Roman"/>
          <w:b/>
          <w:color w:val="BFBFBF"/>
        </w:rPr>
        <w:t>ativas, reza a Súmula TCU nº 281, que “é vedada a participação de cooperativas em licitação quando, pela natureza do serviço ou pelo modo como é usualmente executado no mercado em geral, houver necessidade de subordinação jurídica entre o obreiro e o contr</w:t>
      </w:r>
      <w:r>
        <w:rPr>
          <w:rFonts w:ascii="Times New Roman" w:eastAsia="Times New Roman" w:hAnsi="Times New Roman" w:cs="Times New Roman"/>
          <w:b/>
          <w:color w:val="BFBFBF"/>
        </w:rPr>
        <w:t>atado, bem como de pessoalidade e habitualidade”. Por esse motivo, não parece cabível manter o texto padrão da AGU referente a orientações direcionadas a cooperativas.</w:t>
      </w:r>
    </w:p>
  </w:footnote>
  <w:footnote w:id="13">
    <w:p w:rsidR="008C7EA8" w:rsidRDefault="007C04D2">
      <w:pP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como mero preenchimento das lacunas. Nota explicativa: em razão da natureza da contratação, da baixa complexidade técnica do objeto a ser executado e do vulto, a Administração entende, </w:t>
      </w:r>
      <w:r>
        <w:rPr>
          <w:rFonts w:ascii="Times New Roman" w:eastAsia="Times New Roman" w:hAnsi="Times New Roman" w:cs="Times New Roman"/>
          <w:b/>
          <w:i/>
          <w:color w:val="BFBFBF"/>
        </w:rPr>
        <w:t>s.m.j.</w:t>
      </w:r>
      <w:r>
        <w:rPr>
          <w:rFonts w:ascii="Times New Roman" w:eastAsia="Times New Roman" w:hAnsi="Times New Roman" w:cs="Times New Roman"/>
          <w:b/>
          <w:color w:val="BFBFBF"/>
        </w:rPr>
        <w:t>, que a vedação à participação de empresas reunidas em c</w:t>
      </w:r>
      <w:r>
        <w:rPr>
          <w:rFonts w:ascii="Times New Roman" w:eastAsia="Times New Roman" w:hAnsi="Times New Roman" w:cs="Times New Roman"/>
          <w:b/>
          <w:color w:val="BFBFBF"/>
        </w:rPr>
        <w:t xml:space="preserve">onsórcio, no caso concreto, não parece ter o condão de frustrar a competitividade, uma vez que o histórico de participações de licitantes nesse tipo de licitação evidencia uma ampla participação de empresas sem a necessidade de formação de consórcios para </w:t>
      </w:r>
      <w:r>
        <w:rPr>
          <w:rFonts w:ascii="Times New Roman" w:eastAsia="Times New Roman" w:hAnsi="Times New Roman" w:cs="Times New Roman"/>
          <w:b/>
          <w:color w:val="BFBFBF"/>
        </w:rPr>
        <w:t>execução da avença. Inobstante, no histórico recente de licitações envolvendo outorgas de uso, não se constatou qualquer pedido de impugnação de pretenso consórcio acerca da vedação em comento.</w:t>
      </w:r>
    </w:p>
    <w:p w:rsidR="008C7EA8" w:rsidRDefault="008C7EA8">
      <w:pPr>
        <w:jc w:val="both"/>
        <w:rPr>
          <w:rFonts w:ascii="Times New Roman" w:eastAsia="Times New Roman" w:hAnsi="Times New Roman" w:cs="Times New Roman"/>
          <w:b/>
          <w:color w:val="BFBFBF"/>
        </w:rPr>
      </w:pPr>
    </w:p>
  </w:footnote>
  <w:footnote w:id="14">
    <w:p w:rsidR="008C7EA8" w:rsidRDefault="007C04D2">
      <w:pP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incluída. Justificativa: quanto ao agricultor famil</w:t>
      </w:r>
      <w:r>
        <w:rPr>
          <w:rFonts w:ascii="Times New Roman" w:eastAsia="Times New Roman" w:hAnsi="Times New Roman" w:cs="Times New Roman"/>
          <w:b/>
          <w:color w:val="BFBFBF"/>
        </w:rPr>
        <w:t>iar e produtor rural, a Administração entende que o objeto da licitação não é passível de execução por tais modelos empresariais, ante a natureza da contratação (</w:t>
      </w:r>
      <w:r>
        <w:rPr>
          <w:rFonts w:ascii="Times New Roman" w:eastAsia="Times New Roman" w:hAnsi="Times New Roman" w:cs="Times New Roman"/>
          <w:b/>
          <w:i/>
          <w:color w:val="BFBFBF"/>
        </w:rPr>
        <w:t>i.e.</w:t>
      </w:r>
      <w:r>
        <w:rPr>
          <w:rFonts w:ascii="Times New Roman" w:eastAsia="Times New Roman" w:hAnsi="Times New Roman" w:cs="Times New Roman"/>
          <w:b/>
          <w:color w:val="BFBFBF"/>
        </w:rPr>
        <w:t>, aquisição de materiais).</w:t>
      </w:r>
    </w:p>
    <w:p w:rsidR="008C7EA8" w:rsidRDefault="008C7EA8">
      <w:pPr>
        <w:jc w:val="both"/>
        <w:rPr>
          <w:rFonts w:ascii="Times New Roman" w:eastAsia="Times New Roman" w:hAnsi="Times New Roman" w:cs="Times New Roman"/>
          <w:b/>
          <w:color w:val="BFBFBF"/>
        </w:rPr>
      </w:pPr>
    </w:p>
  </w:footnote>
  <w:footnote w:id="15">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a presente licitação não a</w:t>
      </w:r>
      <w:r>
        <w:rPr>
          <w:rFonts w:ascii="Times New Roman" w:eastAsia="Times New Roman" w:hAnsi="Times New Roman" w:cs="Times New Roman"/>
          <w:b/>
          <w:color w:val="BFBFBF"/>
        </w:rPr>
        <w:t>presenta orçamento estimado de caráter sigiloso, conforme consta valor total descrito na tabela do item 1.1 do Termo de Referência (Anexo 01-D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16">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4.2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17">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4.2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18">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não há que se falar, na presente licitação, sobre a participação de sociedades cooperativas, uma vez que a mesma é vedada. </w:t>
      </w:r>
      <w:r>
        <w:rPr>
          <w:rFonts w:ascii="Times New Roman" w:eastAsia="Times New Roman" w:hAnsi="Times New Roman" w:cs="Times New Roman"/>
          <w:b/>
          <w:i/>
          <w:color w:val="BFBFBF"/>
        </w:rPr>
        <w:t>Vide</w:t>
      </w:r>
      <w:r>
        <w:rPr>
          <w:rFonts w:ascii="Times New Roman" w:eastAsia="Times New Roman" w:hAnsi="Times New Roman" w:cs="Times New Roman"/>
          <w:b/>
          <w:color w:val="BFBFBF"/>
        </w:rPr>
        <w:t xml:space="preserve"> item </w:t>
      </w:r>
      <w:r>
        <w:rPr>
          <w:rFonts w:ascii="Times New Roman" w:eastAsia="Times New Roman" w:hAnsi="Times New Roman" w:cs="Times New Roman"/>
          <w:b/>
          <w:color w:val="BFBFBF"/>
        </w:rPr>
        <w:t>3.10.3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19">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não há que se falar, no presente certame, da aplicação de margem de preferência a bens manufaturados e serviços nacionais que atendam a normas técnicas brasileiras e a bens reciclados, recicláveis o</w:t>
      </w:r>
      <w:r>
        <w:rPr>
          <w:rFonts w:ascii="Times New Roman" w:eastAsia="Times New Roman" w:hAnsi="Times New Roman" w:cs="Times New Roman"/>
          <w:b/>
          <w:color w:val="BFBFBF"/>
        </w:rPr>
        <w:t xml:space="preserve">u biodegradáveis, conforme regulamento do art. 26 da Lei nº 14.133/2021, uma vez que esta licitação tem como objeto a aquisição alguns materiais de consumo e equipamentos essenciais para a SSG/UFPB, produtos estes que estão fora do rol da legislação acima </w:t>
      </w:r>
      <w:r>
        <w:rPr>
          <w:rFonts w:ascii="Times New Roman" w:eastAsia="Times New Roman" w:hAnsi="Times New Roman" w:cs="Times New Roman"/>
          <w:b/>
          <w:color w:val="BFBFBF"/>
        </w:rPr>
        <w:t>referida, bem como da Resolução SEGES-CICS/MGI nº 1, de 2 de junho de 2024, segundo Estudo Técnico Preliminar (Anexo 01-B) e Termo de Referência (Anexo 01-D), ambos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20">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alterada. Justificativa: o mesmo motivo utilizado para o item 3.10</w:t>
      </w:r>
      <w:r>
        <w:rPr>
          <w:rFonts w:ascii="Times New Roman" w:eastAsia="Times New Roman" w:hAnsi="Times New Roman" w:cs="Times New Roman"/>
          <w:b/>
          <w:color w:val="BFBFBF"/>
        </w:rPr>
        <w:t>.3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21">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alterada. Justificativa: o mesmo motivo utilizado para o item 3.10.3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22">
    <w:p w:rsidR="008C7EA8" w:rsidRDefault="007C04D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alterada. Justificativa: para melhor compreensão dos licitantes, tendo em vista o </w:t>
      </w:r>
      <w:hyperlink r:id="rId1" w:anchor="art19">
        <w:r>
          <w:rPr>
            <w:rFonts w:ascii="Times New Roman" w:eastAsia="Times New Roman" w:hAnsi="Times New Roman" w:cs="Times New Roman"/>
            <w:b/>
            <w:color w:val="BFBFBF"/>
          </w:rPr>
          <w:t>art. 19 da Instrução Normativa SEGES nº 73, de 30 de setembro de 2022</w:t>
        </w:r>
      </w:hyperlink>
      <w:r>
        <w:rPr>
          <w:rFonts w:ascii="Times New Roman" w:eastAsia="Times New Roman" w:hAnsi="Times New Roman" w:cs="Times New Roman"/>
          <w:b/>
          <w:color w:val="BFBFBF"/>
        </w:rPr>
        <w:t>, admite-se que o licitante utilize do sistema oficial para es</w:t>
      </w:r>
      <w:r>
        <w:rPr>
          <w:rFonts w:ascii="Times New Roman" w:eastAsia="Times New Roman" w:hAnsi="Times New Roman" w:cs="Times New Roman"/>
          <w:b/>
          <w:color w:val="BFBFBF"/>
        </w:rPr>
        <w:t>tabelecer previamente seus lances, inclusive a maior oferta, de modo que o sistema automaticamente receba os lances sem a necessidade de inserção manual a cada lance. Ressalte-se que a utilização desse instrumento é uma faculdade oferecida ao licitante.</w:t>
      </w:r>
    </w:p>
    <w:p w:rsidR="008C7EA8" w:rsidRDefault="008C7EA8">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p>
  </w:footnote>
  <w:footnote w:id="23">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como mero preenchimento das lacunas. Nota explicativa: o critério adotado nesta licitação é o de menor preço, conforme item 9.1 do Termo de Referência, Anexo 01-D deste Edital, e não o de maior percentual de desconto (maior oferta).</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24">
    <w:p w:rsidR="008C7EA8" w:rsidRDefault="007C04D2">
      <w:pP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w:t>
      </w:r>
      <w:r>
        <w:rPr>
          <w:rFonts w:ascii="Times New Roman" w:eastAsia="Times New Roman" w:hAnsi="Times New Roman" w:cs="Times New Roman"/>
          <w:b/>
          <w:color w:val="BFBFBF"/>
        </w:rPr>
        <w:t>rimida. Justificativa: o critério adotado nesta licitação é o de menor preço, conforme item 9.1 do Termo de Referência, Anexo 01-D deste Edital, e não o de maior percentual de desconto (maior oferta).</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25">
    <w:p w:rsidR="008C7EA8" w:rsidRDefault="007C04D2">
      <w:pP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incluída. Justificativa: os anexos em questão foram inseridos neste Edital com base no art. 225 da Constituição Federal, no art. 5º da Lei nº 14.133/2021, no art. 7º do Decreto nº 7.203/2010, no Decreto nº 7.746/2012 e na Instrução Normativa nº 01</w:t>
      </w:r>
      <w:r>
        <w:rPr>
          <w:rFonts w:ascii="Times New Roman" w:eastAsia="Times New Roman" w:hAnsi="Times New Roman" w:cs="Times New Roman"/>
          <w:b/>
          <w:color w:val="BFBFBF"/>
        </w:rPr>
        <w:t>/2010, bem como demais legislações aplicáveis.</w:t>
      </w:r>
    </w:p>
    <w:p w:rsidR="008C7EA8" w:rsidRDefault="008C7EA8">
      <w:pPr>
        <w:jc w:val="both"/>
        <w:rPr>
          <w:rFonts w:ascii="Times New Roman" w:eastAsia="Times New Roman" w:hAnsi="Times New Roman" w:cs="Times New Roman"/>
          <w:b/>
          <w:color w:val="BFBFBF"/>
        </w:rPr>
      </w:pPr>
    </w:p>
  </w:footnote>
  <w:footnote w:id="26">
    <w:p w:rsidR="008C7EA8" w:rsidRDefault="007C04D2">
      <w:pP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como mero preenchimento das lacunas. Nota explicativa: em conformidade com os itens 1.1 e 9.1 do Termo de Referência, Anexo 01-D deste Edital. Os licitantes devem se atentar para as regras próprias </w:t>
      </w:r>
      <w:r>
        <w:rPr>
          <w:rFonts w:ascii="Times New Roman" w:eastAsia="Times New Roman" w:hAnsi="Times New Roman" w:cs="Times New Roman"/>
          <w:b/>
          <w:color w:val="BFBFBF"/>
        </w:rPr>
        <w:t>do Termo de Referência, considerando a área de interesse, o modelo de apresentação das propostas, os parâmetros de pagamento, etc.</w:t>
      </w:r>
    </w:p>
    <w:p w:rsidR="008C7EA8" w:rsidRDefault="008C7EA8">
      <w:pPr>
        <w:jc w:val="both"/>
        <w:rPr>
          <w:rFonts w:ascii="Times New Roman" w:eastAsia="Times New Roman" w:hAnsi="Times New Roman" w:cs="Times New Roman"/>
          <w:b/>
          <w:color w:val="BFBFBF"/>
        </w:rPr>
      </w:pPr>
    </w:p>
  </w:footnote>
  <w:footnote w:id="27">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nesta licitação, não há menção para a quantidade mínima a ser cotada no Termo de Referên</w:t>
      </w:r>
      <w:r>
        <w:rPr>
          <w:rFonts w:ascii="Times New Roman" w:eastAsia="Times New Roman" w:hAnsi="Times New Roman" w:cs="Times New Roman"/>
          <w:b/>
          <w:color w:val="BFBFBF"/>
        </w:rPr>
        <w:t>cia (Anexo 01-D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28">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a presente licitação não tem como objeto a contratação de serviços continuados COM dedicação exclusiva de mão de obra, mas sim a mera aquisição de materiais.</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29">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com mero preenchime</w:t>
      </w:r>
      <w:r>
        <w:rPr>
          <w:rFonts w:ascii="Times New Roman" w:eastAsia="Times New Roman" w:hAnsi="Times New Roman" w:cs="Times New Roman"/>
          <w:b/>
          <w:color w:val="BFBFBF"/>
        </w:rPr>
        <w:t>nto das lacunas. Nota explicativa: no Edital modelo AGU, o presente item trata-se de questão atinente à Planilha de Custos e Formação de Preços, sendo que a presente licitação não adota tal instrumento. Neste certame, toda vez que se mencionar “Planilha” o</w:t>
      </w:r>
      <w:r>
        <w:rPr>
          <w:rFonts w:ascii="Times New Roman" w:eastAsia="Times New Roman" w:hAnsi="Times New Roman" w:cs="Times New Roman"/>
          <w:b/>
          <w:color w:val="BFBFBF"/>
        </w:rPr>
        <w:t>u “Planilha de Custos e Formação de Preços”, estar-se-á, na verdade, fazendo-se menção à tabela constante no item 1.1 do Termo de Referência (Anexo 01-D deste Edital). Ademais, o licitante deve tomar ciência que este pregão tem como objeto a mera aquisição</w:t>
      </w:r>
      <w:r>
        <w:rPr>
          <w:rFonts w:ascii="Times New Roman" w:eastAsia="Times New Roman" w:hAnsi="Times New Roman" w:cs="Times New Roman"/>
          <w:b/>
          <w:color w:val="BFBFBF"/>
        </w:rPr>
        <w:t xml:space="preserve"> de materiais.</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30">
    <w:p w:rsidR="008C7EA8" w:rsidRDefault="007C04D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com mero preenchimento das lacunas. Nota explicativa: a presente licitação NÃO tem por objeto os </w:t>
      </w:r>
      <w:r>
        <w:rPr>
          <w:rFonts w:ascii="Times New Roman" w:eastAsia="Times New Roman" w:hAnsi="Times New Roman" w:cs="Times New Roman"/>
          <w:b/>
          <w:color w:val="BFBFBF"/>
          <w:u w:val="single"/>
        </w:rPr>
        <w:t>serviços de vigilância, limpeza ou conservação (com mão de obra exclusiva),</w:t>
      </w:r>
      <w:r>
        <w:rPr>
          <w:rFonts w:ascii="Times New Roman" w:eastAsia="Times New Roman" w:hAnsi="Times New Roman" w:cs="Times New Roman"/>
          <w:b/>
          <w:color w:val="BFBFBF"/>
        </w:rPr>
        <w:t xml:space="preserve"> nos termos do art. 18, § 5º-C, inciso VI, c/c § 5º-H, da </w:t>
      </w:r>
      <w:r>
        <w:rPr>
          <w:rFonts w:ascii="Times New Roman" w:eastAsia="Times New Roman" w:hAnsi="Times New Roman" w:cs="Times New Roman"/>
          <w:b/>
          <w:color w:val="BFBFBF"/>
        </w:rPr>
        <w:t xml:space="preserve">Lei Complementar no 123/2006, mas sim a mera </w:t>
      </w:r>
      <w:r>
        <w:rPr>
          <w:rFonts w:ascii="Times New Roman" w:eastAsia="Times New Roman" w:hAnsi="Times New Roman" w:cs="Times New Roman"/>
          <w:b/>
          <w:color w:val="BFBFBF"/>
          <w:u w:val="single"/>
        </w:rPr>
        <w:t>aquisição de materiais.</w:t>
      </w:r>
      <w:r>
        <w:rPr>
          <w:rFonts w:ascii="Times New Roman" w:eastAsia="Times New Roman" w:hAnsi="Times New Roman" w:cs="Times New Roman"/>
          <w:b/>
          <w:color w:val="BFBFBF"/>
        </w:rPr>
        <w:t xml:space="preserve"> Portanto, o objeto deste certame permite a aplicação do regime do SIMPLES, uma vez que não se coaduna com nenhuma das vedações previstas nos termos do art. 17 da menciona Lei Complementar</w:t>
      </w:r>
      <w:r>
        <w:rPr>
          <w:rFonts w:ascii="Times New Roman" w:eastAsia="Times New Roman" w:hAnsi="Times New Roman" w:cs="Times New Roman"/>
          <w:b/>
          <w:color w:val="BFBFBF"/>
        </w:rPr>
        <w:t>.</w:t>
      </w:r>
    </w:p>
    <w:p w:rsidR="008C7EA8" w:rsidRDefault="008C7EA8">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p>
  </w:footnote>
  <w:footnote w:id="31">
    <w:p w:rsidR="008C7EA8" w:rsidRDefault="007C04D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a presente licitação NÃO tem por objeto os </w:t>
      </w:r>
      <w:r>
        <w:rPr>
          <w:rFonts w:ascii="Times New Roman" w:eastAsia="Times New Roman" w:hAnsi="Times New Roman" w:cs="Times New Roman"/>
          <w:b/>
          <w:color w:val="BFBFBF"/>
          <w:u w:val="single"/>
        </w:rPr>
        <w:t>serviços de vigilância, limpeza ou conservação (com mão de obra exclusiva),</w:t>
      </w:r>
      <w:r>
        <w:rPr>
          <w:rFonts w:ascii="Times New Roman" w:eastAsia="Times New Roman" w:hAnsi="Times New Roman" w:cs="Times New Roman"/>
          <w:b/>
          <w:color w:val="BFBFBF"/>
        </w:rPr>
        <w:t xml:space="preserve"> nos termos do art. 18, § 5º-C, inciso VI, c/c § 5º-H, da Lei Complementar no 123/2006. Portanto, o objeto deste certame permite a aplicação do regime do SIMPLES, uma vez que não se coaduna com nenhuma das vedações previstas nos termos do art. 17 da mencio</w:t>
      </w:r>
      <w:r>
        <w:rPr>
          <w:rFonts w:ascii="Times New Roman" w:eastAsia="Times New Roman" w:hAnsi="Times New Roman" w:cs="Times New Roman"/>
          <w:b/>
          <w:color w:val="BFBFBF"/>
        </w:rPr>
        <w:t>na Lei Complementar.</w:t>
      </w:r>
    </w:p>
    <w:p w:rsidR="008C7EA8" w:rsidRDefault="008C7EA8">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p>
  </w:footnote>
  <w:footnote w:id="32">
    <w:p w:rsidR="008C7EA8" w:rsidRDefault="007C04D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como mero preenchimento das lacunas. Nota explicativa: considerando-se que a Lei nº 14.133,0 de 2021 não fixa prazo de validade das propostas (</w:t>
      </w:r>
      <w:r>
        <w:rPr>
          <w:rFonts w:ascii="Times New Roman" w:eastAsia="Times New Roman" w:hAnsi="Times New Roman" w:cs="Times New Roman"/>
          <w:b/>
          <w:i/>
          <w:color w:val="BFBFBF"/>
        </w:rPr>
        <w:t>vide</w:t>
      </w:r>
      <w:r>
        <w:rPr>
          <w:rFonts w:ascii="Times New Roman" w:eastAsia="Times New Roman" w:hAnsi="Times New Roman" w:cs="Times New Roman"/>
          <w:b/>
          <w:color w:val="BFBFBF"/>
        </w:rPr>
        <w:t xml:space="preserve">, nesse sentido, os arts. </w:t>
      </w:r>
      <w:hyperlink r:id="rId2" w:anchor="art90%C2%A73">
        <w:r>
          <w:rPr>
            <w:rFonts w:ascii="Times New Roman" w:eastAsia="Times New Roman" w:hAnsi="Times New Roman" w:cs="Times New Roman"/>
            <w:b/>
            <w:color w:val="BFBFBF"/>
          </w:rPr>
          <w:t>90, §3º c/c  155, inciso VI</w:t>
        </w:r>
      </w:hyperlink>
      <w:r>
        <w:rPr>
          <w:rFonts w:ascii="Times New Roman" w:eastAsia="Times New Roman" w:hAnsi="Times New Roman" w:cs="Times New Roman"/>
          <w:b/>
          <w:color w:val="BFBFBF"/>
        </w:rPr>
        <w:t>) a Administração opta por não alterar a praxe de 60 (sessenta) dias já consagrada em licitações realizadas pelo órgão. Ademais, entende-se que o prazo em tela parece justo</w:t>
      </w:r>
      <w:r>
        <w:rPr>
          <w:rFonts w:ascii="Times New Roman" w:eastAsia="Times New Roman" w:hAnsi="Times New Roman" w:cs="Times New Roman"/>
          <w:b/>
          <w:color w:val="BFBFBF"/>
        </w:rPr>
        <w:t xml:space="preserve"> e razoável aos participantes e aos interesses da Administração.</w:t>
      </w:r>
    </w:p>
    <w:p w:rsidR="008C7EA8" w:rsidRDefault="008C7EA8">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p>
  </w:footnote>
  <w:footnote w:id="33">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critério de julgamento da presente licitação é o de menor preço, conforme 9.1 do Termo de Referência (Anexo 01-D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34">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a presente licitação não se trata de serviços COM fornecimento de mão de obra em regime de dedicação exclusiva, mas da mera aquisição de materiais.</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35">
    <w:p w:rsidR="008C7EA8" w:rsidRDefault="007C04D2">
      <w:pPr>
        <w:pBdr>
          <w:top w:val="nil"/>
          <w:left w:val="nil"/>
          <w:bottom w:val="nil"/>
          <w:right w:val="nil"/>
          <w:between w:val="nil"/>
        </w:pBdr>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000000"/>
        </w:rPr>
        <w:t xml:space="preserve"> </w:t>
      </w:r>
      <w:r>
        <w:rPr>
          <w:rFonts w:ascii="Times New Roman" w:eastAsia="Times New Roman" w:hAnsi="Times New Roman" w:cs="Times New Roman"/>
          <w:b/>
          <w:color w:val="BFBFBF"/>
        </w:rPr>
        <w:t>Redação suprimida. Justificativa: o mesmo motivo utilizado para o item</w:t>
      </w:r>
      <w:r>
        <w:rPr>
          <w:rFonts w:ascii="Times New Roman" w:eastAsia="Times New Roman" w:hAnsi="Times New Roman" w:cs="Times New Roman"/>
          <w:b/>
          <w:color w:val="BFBFBF"/>
        </w:rPr>
        <w:t xml:space="preserve"> 6.15 deste Edital.</w:t>
      </w:r>
    </w:p>
    <w:p w:rsidR="008C7EA8" w:rsidRDefault="008C7EA8">
      <w:pPr>
        <w:pBdr>
          <w:top w:val="nil"/>
          <w:left w:val="nil"/>
          <w:bottom w:val="nil"/>
          <w:right w:val="nil"/>
          <w:between w:val="nil"/>
        </w:pBdr>
        <w:rPr>
          <w:rFonts w:ascii="Times New Roman" w:eastAsia="Times New Roman" w:hAnsi="Times New Roman" w:cs="Times New Roman"/>
          <w:b/>
          <w:color w:val="BFBFBF"/>
        </w:rPr>
      </w:pPr>
    </w:p>
  </w:footnote>
  <w:footnote w:id="36">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como mero preenchimento de lacunas. Nota explicativa: adequação ao critério de julgamento desta licitação, qual seja, menor preço, conforme item 9.1 do Termo de referência (Anexo 01-D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37">
    <w:p w:rsidR="008C7EA8" w:rsidRDefault="007C04D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como mero preen</w:t>
      </w:r>
      <w:r>
        <w:rPr>
          <w:rFonts w:ascii="Times New Roman" w:eastAsia="Times New Roman" w:hAnsi="Times New Roman" w:cs="Times New Roman"/>
          <w:b/>
          <w:color w:val="BFBFBF"/>
        </w:rPr>
        <w:t>chimento de lacunas. Nota explicativa: tendo em vista a obrigatoriedade de previsão de intervalo mínimo de diferença de valores ou percentuais (</w:t>
      </w:r>
      <w:hyperlink r:id="rId3" w:anchor="art22%C2%A71">
        <w:r>
          <w:rPr>
            <w:rFonts w:ascii="Times New Roman" w:eastAsia="Times New Roman" w:hAnsi="Times New Roman" w:cs="Times New Roman"/>
            <w:b/>
            <w:color w:val="BFBFBF"/>
          </w:rPr>
          <w:t>art. 22, § 1º, da Instrução Normativa SEGES nº 73, de 30 de setembro de 2022</w:t>
        </w:r>
      </w:hyperlink>
      <w:r>
        <w:rPr>
          <w:rFonts w:ascii="Times New Roman" w:eastAsia="Times New Roman" w:hAnsi="Times New Roman" w:cs="Times New Roman"/>
          <w:b/>
          <w:color w:val="BFBFBF"/>
        </w:rPr>
        <w:t>), bem como o vulto da contratação, a Administração opta por fixar tal percentual de desconto como intervalo</w:t>
      </w:r>
      <w:r>
        <w:rPr>
          <w:rFonts w:ascii="Times New Roman" w:eastAsia="Times New Roman" w:hAnsi="Times New Roman" w:cs="Times New Roman"/>
          <w:b/>
          <w:color w:val="BFBFBF"/>
        </w:rPr>
        <w:t xml:space="preserve"> mínimo para lances.</w:t>
      </w:r>
    </w:p>
    <w:p w:rsidR="008C7EA8" w:rsidRDefault="008C7EA8">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p>
  </w:footnote>
  <w:footnote w:id="38">
    <w:p w:rsidR="008C7EA8" w:rsidRDefault="007C04D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como mero preenchimento de lacunas. Nota explicativa: a Administração decide pela utilização do </w:t>
      </w:r>
      <w:r>
        <w:rPr>
          <w:rFonts w:ascii="Times New Roman" w:eastAsia="Times New Roman" w:hAnsi="Times New Roman" w:cs="Times New Roman"/>
          <w:b/>
          <w:color w:val="BFBFBF"/>
          <w:u w:val="single"/>
        </w:rPr>
        <w:t>modo de disputa “aberto”</w:t>
      </w:r>
      <w:r>
        <w:rPr>
          <w:rFonts w:ascii="Times New Roman" w:eastAsia="Times New Roman" w:hAnsi="Times New Roman" w:cs="Times New Roman"/>
          <w:b/>
          <w:color w:val="BFBFBF"/>
        </w:rPr>
        <w:t xml:space="preserve"> por entender que, no caso concreto, a busca por preços mais vantajosos pode ser estimulada com a adoção</w:t>
      </w:r>
      <w:r>
        <w:rPr>
          <w:rFonts w:ascii="Times New Roman" w:eastAsia="Times New Roman" w:hAnsi="Times New Roman" w:cs="Times New Roman"/>
          <w:b/>
          <w:color w:val="BFBFBF"/>
        </w:rPr>
        <w:t xml:space="preserve"> do referido modo de disputa, ante as demais opções disponíveis no art. 56 da Lei nº 14.133, de 2021.</w:t>
      </w:r>
    </w:p>
    <w:p w:rsidR="008C7EA8" w:rsidRDefault="008C7EA8">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p>
  </w:footnote>
  <w:footnote w:id="39">
    <w:p w:rsidR="008C7EA8" w:rsidRDefault="007C04D2">
      <w:pP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alterada. Justificativa: para melhor compreensão do modo de disputa, altera-se parte da redação, de forma a deixar evidente a sistemática do mo</w:t>
      </w:r>
      <w:r>
        <w:rPr>
          <w:rFonts w:ascii="Times New Roman" w:eastAsia="Times New Roman" w:hAnsi="Times New Roman" w:cs="Times New Roman"/>
          <w:b/>
          <w:color w:val="BFBFBF"/>
        </w:rPr>
        <w:t>do de disputa “aberto”.</w:t>
      </w:r>
    </w:p>
    <w:p w:rsidR="008C7EA8" w:rsidRDefault="008C7EA8">
      <w:pPr>
        <w:jc w:val="both"/>
        <w:rPr>
          <w:rFonts w:ascii="Times New Roman" w:eastAsia="Times New Roman" w:hAnsi="Times New Roman" w:cs="Times New Roman"/>
          <w:b/>
          <w:color w:val="BFBFBF"/>
        </w:rPr>
      </w:pPr>
    </w:p>
  </w:footnote>
  <w:footnote w:id="40">
    <w:p w:rsidR="008C7EA8" w:rsidRDefault="007C04D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item editalício não utilizado, uma vez que se optou, nesta licitação, pelo modo de disputa “aberto” (</w:t>
      </w:r>
      <w:r>
        <w:rPr>
          <w:rFonts w:ascii="Times New Roman" w:eastAsia="Times New Roman" w:hAnsi="Times New Roman" w:cs="Times New Roman"/>
          <w:b/>
          <w:i/>
          <w:color w:val="BFBFBF"/>
        </w:rPr>
        <w:t>vide</w:t>
      </w:r>
      <w:r>
        <w:rPr>
          <w:rFonts w:ascii="Times New Roman" w:eastAsia="Times New Roman" w:hAnsi="Times New Roman" w:cs="Times New Roman"/>
          <w:b/>
          <w:color w:val="BFBFBF"/>
        </w:rPr>
        <w:t>, neste sentido, os itens 7.11 a 7.13.6 deste Edital), e não pelo modo de disputa “aberto e fechado”.</w:t>
      </w:r>
    </w:p>
    <w:p w:rsidR="008C7EA8" w:rsidRDefault="008C7EA8">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p>
  </w:footnote>
  <w:footnote w:id="41">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para o item 7.12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42">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w:t>
      </w:r>
      <w:r>
        <w:rPr>
          <w:rFonts w:ascii="Times New Roman" w:eastAsia="Times New Roman" w:hAnsi="Times New Roman" w:cs="Times New Roman"/>
          <w:b/>
          <w:color w:val="BFBFBF"/>
        </w:rPr>
        <w:t xml:space="preserve"> para o item 7.12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43">
    <w:p w:rsidR="008C7EA8" w:rsidRDefault="007C04D2">
      <w:pPr>
        <w:pBdr>
          <w:top w:val="nil"/>
          <w:left w:val="nil"/>
          <w:bottom w:val="nil"/>
          <w:right w:val="nil"/>
          <w:between w:val="nil"/>
        </w:pBdr>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para o item 7.12 deste Edital.</w:t>
      </w:r>
    </w:p>
    <w:p w:rsidR="008C7EA8" w:rsidRDefault="008C7EA8">
      <w:pPr>
        <w:pBdr>
          <w:top w:val="nil"/>
          <w:left w:val="nil"/>
          <w:bottom w:val="nil"/>
          <w:right w:val="nil"/>
          <w:between w:val="nil"/>
        </w:pBdr>
        <w:rPr>
          <w:rFonts w:ascii="Times New Roman" w:eastAsia="Times New Roman" w:hAnsi="Times New Roman" w:cs="Times New Roman"/>
          <w:b/>
          <w:color w:val="BFBFBF"/>
        </w:rPr>
      </w:pPr>
    </w:p>
  </w:footnote>
  <w:footnote w:id="44">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para o item 7.12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45">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w:t>
      </w:r>
      <w:r>
        <w:rPr>
          <w:rFonts w:ascii="Times New Roman" w:eastAsia="Times New Roman" w:hAnsi="Times New Roman" w:cs="Times New Roman"/>
          <w:b/>
          <w:color w:val="BFBFBF"/>
        </w:rPr>
        <w:t xml:space="preserve"> mesmo motivo utilizado para o item 7.12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46">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para o item 7.12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47">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item editalício não utilizado, uma vez que se optou, nesta licitação, pelo modo de disputa “aberto” (</w:t>
      </w:r>
      <w:r>
        <w:rPr>
          <w:rFonts w:ascii="Times New Roman" w:eastAsia="Times New Roman" w:hAnsi="Times New Roman" w:cs="Times New Roman"/>
          <w:b/>
          <w:i/>
          <w:color w:val="BFBFBF"/>
        </w:rPr>
        <w:t>vide</w:t>
      </w:r>
      <w:r>
        <w:rPr>
          <w:rFonts w:ascii="Times New Roman" w:eastAsia="Times New Roman" w:hAnsi="Times New Roman" w:cs="Times New Roman"/>
          <w:b/>
          <w:color w:val="BFBFBF"/>
        </w:rPr>
        <w:t>, neste sentido, os itens 7.11 a 7.13.6 deste Edital), e não pelo modo de disputa “fechado e aberto”.</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48">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w:t>
      </w:r>
      <w:r>
        <w:rPr>
          <w:rFonts w:ascii="Times New Roman" w:eastAsia="Times New Roman" w:hAnsi="Times New Roman" w:cs="Times New Roman"/>
          <w:b/>
          <w:color w:val="BFBFBF"/>
        </w:rPr>
        <w:t>rimida. Justificativa: o mesmo motivo utilizado para o item 7.13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49">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para o item 7.13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50">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para o item 7.13 deste</w:t>
      </w:r>
      <w:r>
        <w:rPr>
          <w:rFonts w:ascii="Times New Roman" w:eastAsia="Times New Roman" w:hAnsi="Times New Roman" w:cs="Times New Roman"/>
          <w:b/>
          <w:color w:val="BFBFBF"/>
        </w:rPr>
        <w:t xml:space="preserv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51">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para o item 7.13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52">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para o item 7.13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53">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w:t>
      </w:r>
      <w:r>
        <w:rPr>
          <w:rFonts w:ascii="Times New Roman" w:eastAsia="Times New Roman" w:hAnsi="Times New Roman" w:cs="Times New Roman"/>
          <w:b/>
          <w:color w:val="BFBFBF"/>
        </w:rPr>
        <w:t xml:space="preserve"> para o item 7.13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54">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para o item 7.13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55">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nesta licitação, não há item que se enquadre na margem de preferência prevista pelo art. 26 da</w:t>
      </w:r>
      <w:r>
        <w:rPr>
          <w:rFonts w:ascii="Times New Roman" w:eastAsia="Times New Roman" w:hAnsi="Times New Roman" w:cs="Times New Roman"/>
          <w:b/>
          <w:color w:val="BFBFBF"/>
        </w:rPr>
        <w:t xml:space="preserve"> Lei nº 14.133/2021, bem como elencada no rol da Resolução SEGES-CICS/MGI nº 1, de 2 de junho de 2024</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56">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para o item 7.20 deste Edital.</w:t>
      </w:r>
    </w:p>
  </w:footnote>
  <w:footnote w:id="57">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000000"/>
        </w:rPr>
        <w:t xml:space="preserve"> </w:t>
      </w:r>
      <w:r>
        <w:rPr>
          <w:rFonts w:ascii="Times New Roman" w:eastAsia="Times New Roman" w:hAnsi="Times New Roman" w:cs="Times New Roman"/>
          <w:b/>
          <w:color w:val="BFBFBF"/>
        </w:rPr>
        <w:t xml:space="preserve">Redação suprimida. Justificativa: o mesmo motivo utilizado </w:t>
      </w:r>
      <w:r>
        <w:rPr>
          <w:rFonts w:ascii="Times New Roman" w:eastAsia="Times New Roman" w:hAnsi="Times New Roman" w:cs="Times New Roman"/>
          <w:b/>
          <w:color w:val="BFBFBF"/>
        </w:rPr>
        <w:t>para o item 7.20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58">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a presente licitação está dividida por itens (e não por grupos), conforme item 1.2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59">
    <w:p w:rsidR="008C7EA8" w:rsidRDefault="007C04D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alterada. Justificativa: por ser uma licitação que tem por objeto uma cessão de uso, a Administração optou, de forma bastante razoável, </w:t>
      </w:r>
      <w:r>
        <w:rPr>
          <w:rFonts w:ascii="Times New Roman" w:eastAsia="Times New Roman" w:hAnsi="Times New Roman" w:cs="Times New Roman"/>
          <w:b/>
          <w:color w:val="BFBFBF"/>
          <w:u w:val="single"/>
        </w:rPr>
        <w:t>pelo prazo de 24 (vinte e quatro) horas, prorrogável por igual período, a critério da Administração,</w:t>
      </w:r>
      <w:r>
        <w:rPr>
          <w:rFonts w:ascii="Times New Roman" w:eastAsia="Times New Roman" w:hAnsi="Times New Roman" w:cs="Times New Roman"/>
          <w:b/>
          <w:color w:val="BFBFBF"/>
        </w:rPr>
        <w:t xml:space="preserve"> discricion</w:t>
      </w:r>
      <w:r>
        <w:rPr>
          <w:rFonts w:ascii="Times New Roman" w:eastAsia="Times New Roman" w:hAnsi="Times New Roman" w:cs="Times New Roman"/>
          <w:b/>
          <w:color w:val="BFBFBF"/>
        </w:rPr>
        <w:t xml:space="preserve">ariedade permitida pelo </w:t>
      </w:r>
      <w:hyperlink r:id="rId4">
        <w:r>
          <w:rPr>
            <w:rFonts w:ascii="Times New Roman" w:eastAsia="Times New Roman" w:hAnsi="Times New Roman" w:cs="Times New Roman"/>
            <w:b/>
            <w:color w:val="BFBFBF"/>
          </w:rPr>
          <w:t>art. 29, § 2º, da IN SEGES nº 73, de 30 de setembro de 2022</w:t>
        </w:r>
      </w:hyperlink>
      <w:r>
        <w:rPr>
          <w:rFonts w:ascii="Times New Roman" w:eastAsia="Times New Roman" w:hAnsi="Times New Roman" w:cs="Times New Roman"/>
          <w:b/>
          <w:color w:val="BFBFBF"/>
        </w:rPr>
        <w:t>, uma v</w:t>
      </w:r>
      <w:r>
        <w:rPr>
          <w:rFonts w:ascii="Times New Roman" w:eastAsia="Times New Roman" w:hAnsi="Times New Roman" w:cs="Times New Roman"/>
          <w:b/>
          <w:color w:val="BFBFBF"/>
        </w:rPr>
        <w:t>ez que foi respeitado o prazo mínimo de 02 (duas) horas, prorrogável por igual período.</w:t>
      </w:r>
    </w:p>
    <w:p w:rsidR="008C7EA8" w:rsidRDefault="008C7EA8">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p>
  </w:footnote>
  <w:footnote w:id="60">
    <w:p w:rsidR="008C7EA8" w:rsidRDefault="007C04D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alterada. Justificativa: o formato da documentação enviada deverá ser de fácil compatibilidade e visualização em sistemas operacionais usualmente disponíveis</w:t>
      </w:r>
      <w:r>
        <w:rPr>
          <w:rFonts w:ascii="Times New Roman" w:eastAsia="Times New Roman" w:hAnsi="Times New Roman" w:cs="Times New Roman"/>
          <w:b/>
          <w:color w:val="BFBFBF"/>
        </w:rPr>
        <w:t xml:space="preserve">, preferencialmente Windows, em todas as suas versões e os aplicativos tradicionais, como Word, Excel, Adobe Reader, ou equivalentes, além de editores de imagens usuais. As extensões comumente aceitáveis são </w:t>
      </w:r>
      <w:r>
        <w:rPr>
          <w:rFonts w:ascii="Times New Roman" w:eastAsia="Times New Roman" w:hAnsi="Times New Roman" w:cs="Times New Roman"/>
          <w:b/>
          <w:i/>
          <w:color w:val="BFBFBF"/>
        </w:rPr>
        <w:t>“.</w:t>
      </w:r>
      <w:proofErr w:type="spellStart"/>
      <w:r>
        <w:rPr>
          <w:rFonts w:ascii="Times New Roman" w:eastAsia="Times New Roman" w:hAnsi="Times New Roman" w:cs="Times New Roman"/>
          <w:b/>
          <w:i/>
          <w:color w:val="BFBFBF"/>
        </w:rPr>
        <w:t>xls</w:t>
      </w:r>
      <w:proofErr w:type="spellEnd"/>
      <w:r>
        <w:rPr>
          <w:rFonts w:ascii="Times New Roman" w:eastAsia="Times New Roman" w:hAnsi="Times New Roman" w:cs="Times New Roman"/>
          <w:b/>
          <w:i/>
          <w:color w:val="BFBFBF"/>
        </w:rPr>
        <w:t>”, “.</w:t>
      </w:r>
      <w:proofErr w:type="spellStart"/>
      <w:r>
        <w:rPr>
          <w:rFonts w:ascii="Times New Roman" w:eastAsia="Times New Roman" w:hAnsi="Times New Roman" w:cs="Times New Roman"/>
          <w:b/>
          <w:i/>
          <w:color w:val="BFBFBF"/>
        </w:rPr>
        <w:t>doc</w:t>
      </w:r>
      <w:proofErr w:type="spellEnd"/>
      <w:r>
        <w:rPr>
          <w:rFonts w:ascii="Times New Roman" w:eastAsia="Times New Roman" w:hAnsi="Times New Roman" w:cs="Times New Roman"/>
          <w:b/>
          <w:i/>
          <w:color w:val="BFBFBF"/>
        </w:rPr>
        <w:t>”, “.</w:t>
      </w:r>
      <w:proofErr w:type="spellStart"/>
      <w:r>
        <w:rPr>
          <w:rFonts w:ascii="Times New Roman" w:eastAsia="Times New Roman" w:hAnsi="Times New Roman" w:cs="Times New Roman"/>
          <w:b/>
          <w:i/>
          <w:color w:val="BFBFBF"/>
        </w:rPr>
        <w:t>jpg</w:t>
      </w:r>
      <w:proofErr w:type="spellEnd"/>
      <w:r>
        <w:rPr>
          <w:rFonts w:ascii="Times New Roman" w:eastAsia="Times New Roman" w:hAnsi="Times New Roman" w:cs="Times New Roman"/>
          <w:b/>
          <w:i/>
          <w:color w:val="BFBFBF"/>
        </w:rPr>
        <w:t>”, e “.</w:t>
      </w:r>
      <w:proofErr w:type="spellStart"/>
      <w:r>
        <w:rPr>
          <w:rFonts w:ascii="Times New Roman" w:eastAsia="Times New Roman" w:hAnsi="Times New Roman" w:cs="Times New Roman"/>
          <w:b/>
          <w:i/>
          <w:color w:val="BFBFBF"/>
        </w:rPr>
        <w:t>pdf</w:t>
      </w:r>
      <w:proofErr w:type="spellEnd"/>
      <w:r>
        <w:rPr>
          <w:rFonts w:ascii="Times New Roman" w:eastAsia="Times New Roman" w:hAnsi="Times New Roman" w:cs="Times New Roman"/>
          <w:b/>
          <w:i/>
          <w:color w:val="BFBFBF"/>
        </w:rPr>
        <w:t>”.</w:t>
      </w:r>
      <w:r>
        <w:rPr>
          <w:rFonts w:ascii="Times New Roman" w:eastAsia="Times New Roman" w:hAnsi="Times New Roman" w:cs="Times New Roman"/>
          <w:b/>
          <w:color w:val="BFBFBF"/>
        </w:rPr>
        <w:t xml:space="preserve"> Caso haja nece</w:t>
      </w:r>
      <w:r>
        <w:rPr>
          <w:rFonts w:ascii="Times New Roman" w:eastAsia="Times New Roman" w:hAnsi="Times New Roman" w:cs="Times New Roman"/>
          <w:b/>
          <w:color w:val="BFBFBF"/>
        </w:rPr>
        <w:t xml:space="preserve">ssidade de compactação de arquivos, ou conjunto de arquivos, poderão ser usadas extensões </w:t>
      </w:r>
      <w:r>
        <w:rPr>
          <w:rFonts w:ascii="Times New Roman" w:eastAsia="Times New Roman" w:hAnsi="Times New Roman" w:cs="Times New Roman"/>
          <w:b/>
          <w:i/>
          <w:color w:val="BFBFBF"/>
        </w:rPr>
        <w:t>".zip" e ".</w:t>
      </w:r>
      <w:proofErr w:type="spellStart"/>
      <w:r>
        <w:rPr>
          <w:rFonts w:ascii="Times New Roman" w:eastAsia="Times New Roman" w:hAnsi="Times New Roman" w:cs="Times New Roman"/>
          <w:b/>
          <w:i/>
          <w:color w:val="BFBFBF"/>
        </w:rPr>
        <w:t>rar</w:t>
      </w:r>
      <w:proofErr w:type="spellEnd"/>
      <w:r>
        <w:rPr>
          <w:rFonts w:ascii="Times New Roman" w:eastAsia="Times New Roman" w:hAnsi="Times New Roman" w:cs="Times New Roman"/>
          <w:b/>
          <w:i/>
          <w:color w:val="BFBFBF"/>
        </w:rPr>
        <w:t>",</w:t>
      </w:r>
      <w:r>
        <w:rPr>
          <w:rFonts w:ascii="Times New Roman" w:eastAsia="Times New Roman" w:hAnsi="Times New Roman" w:cs="Times New Roman"/>
          <w:b/>
          <w:color w:val="BFBFBF"/>
        </w:rPr>
        <w:t xml:space="preserve"> não sendo estas últimas, extensões de aplicativos, mas de compactadores de arquivos. Anexos enviados com arquivos incompatíveis com o nosso sistema n</w:t>
      </w:r>
      <w:r>
        <w:rPr>
          <w:rFonts w:ascii="Times New Roman" w:eastAsia="Times New Roman" w:hAnsi="Times New Roman" w:cs="Times New Roman"/>
          <w:b/>
          <w:color w:val="BFBFBF"/>
        </w:rPr>
        <w:t>ão serão aceitos (Acórdão TCU nº 3982/2015 – 1ª Câmara c/</w:t>
      </w:r>
      <w:proofErr w:type="gramStart"/>
      <w:r>
        <w:rPr>
          <w:rFonts w:ascii="Times New Roman" w:eastAsia="Times New Roman" w:hAnsi="Times New Roman" w:cs="Times New Roman"/>
          <w:b/>
          <w:color w:val="BFBFBF"/>
        </w:rPr>
        <w:t>c</w:t>
      </w:r>
      <w:proofErr w:type="gramEnd"/>
      <w:r>
        <w:rPr>
          <w:rFonts w:ascii="Times New Roman" w:eastAsia="Times New Roman" w:hAnsi="Times New Roman" w:cs="Times New Roman"/>
          <w:b/>
          <w:color w:val="BFBFBF"/>
        </w:rPr>
        <w:t xml:space="preserve"> art. 9º, IV do art. 25 da Lei nº 14.133/21) e, caso não sejam sanados em sede de diligência, poderão ocasionar a desclassificação do licitante.</w:t>
      </w:r>
    </w:p>
    <w:p w:rsidR="008C7EA8" w:rsidRDefault="008C7EA8">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p>
  </w:footnote>
  <w:footnote w:id="61">
    <w:p w:rsidR="008C7EA8" w:rsidRDefault="007C04D2">
      <w:pP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alterada. Justificativa: em razão do papel</w:t>
      </w:r>
      <w:r>
        <w:rPr>
          <w:rFonts w:ascii="Times New Roman" w:eastAsia="Times New Roman" w:hAnsi="Times New Roman" w:cs="Times New Roman"/>
          <w:b/>
          <w:color w:val="BFBFBF"/>
        </w:rPr>
        <w:t xml:space="preserve"> constitucional do Tribunal de Contas da União (TCU), no caso de Recursos Federais, a Administração se reserva ao direito de, em caso de dúvidas, realizar consultas às listas públicas oficiais da corte de contas.</w:t>
      </w:r>
    </w:p>
    <w:p w:rsidR="008C7EA8" w:rsidRDefault="008C7EA8">
      <w:pPr>
        <w:jc w:val="both"/>
        <w:rPr>
          <w:rFonts w:ascii="Times New Roman" w:eastAsia="Times New Roman" w:hAnsi="Times New Roman" w:cs="Times New Roman"/>
          <w:b/>
          <w:color w:val="BFBFBF"/>
        </w:rPr>
      </w:pPr>
    </w:p>
  </w:footnote>
  <w:footnote w:id="62">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a pres</w:t>
      </w:r>
      <w:r>
        <w:rPr>
          <w:rFonts w:ascii="Times New Roman" w:eastAsia="Times New Roman" w:hAnsi="Times New Roman" w:cs="Times New Roman"/>
          <w:b/>
          <w:color w:val="BFBFBF"/>
        </w:rPr>
        <w:t>ente licitação segue o rito comum em suas fases, não havendo a inversão das mesmas.</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63">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a presente licitação não se trata de serviços COM fornecimento de mão de obra em regime de dedicação exclusiva, mas sim de um certame q</w:t>
      </w:r>
      <w:r>
        <w:rPr>
          <w:rFonts w:ascii="Times New Roman" w:eastAsia="Times New Roman" w:hAnsi="Times New Roman" w:cs="Times New Roman"/>
          <w:b/>
          <w:color w:val="BFBFBF"/>
        </w:rPr>
        <w:t>ue tem por objeto a mera aquisição de materiais. Por este motivo, para melhor compreensão por parte dos licitantes, a Administração opta por excluir os trechos que dispõem especificamente sobre aquelas espécies de serviços (COM mão de obra exclusiva).</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64">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8.7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65">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8.7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66">
    <w:p w:rsidR="008C7EA8" w:rsidRDefault="007C04D2">
      <w:pP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incluída. Justificativa: a inclusão do texto busca enfatizar a hipótese</w:t>
      </w:r>
      <w:r>
        <w:rPr>
          <w:rFonts w:ascii="Times New Roman" w:eastAsia="Times New Roman" w:hAnsi="Times New Roman" w:cs="Times New Roman"/>
          <w:b/>
          <w:color w:val="BFBFBF"/>
        </w:rPr>
        <w:t xml:space="preserve"> de desclassificação de propostas (cadastro digital, via sistema de compras) que apresentem elementos que identificam o licitante, tais como inclusão nomes, CPF/CNPJ, etc. nos campos referentes à “marca”, “fabricante”, “modelo/versão” e “descrição” do sist</w:t>
      </w:r>
      <w:r>
        <w:rPr>
          <w:rFonts w:ascii="Times New Roman" w:eastAsia="Times New Roman" w:hAnsi="Times New Roman" w:cs="Times New Roman"/>
          <w:b/>
          <w:color w:val="BFBFBF"/>
        </w:rPr>
        <w:t xml:space="preserve">ema eletrônico. OBS.: o sistema de compras a que se refere este tópico é aquele citado no preâmbulo &lt; </w:t>
      </w:r>
      <w:hyperlink r:id="rId5">
        <w:r>
          <w:rPr>
            <w:rFonts w:ascii="Times New Roman" w:eastAsia="Times New Roman" w:hAnsi="Times New Roman" w:cs="Times New Roman"/>
            <w:b/>
            <w:i/>
            <w:color w:val="BFBFBF"/>
            <w:u w:val="single"/>
          </w:rPr>
          <w:t>www.comprasnet.gov.br</w:t>
        </w:r>
      </w:hyperlink>
      <w:r>
        <w:rPr>
          <w:rFonts w:ascii="Times New Roman" w:eastAsia="Times New Roman" w:hAnsi="Times New Roman" w:cs="Times New Roman"/>
          <w:b/>
          <w:color w:val="BFBFBF"/>
        </w:rPr>
        <w:t xml:space="preserve"> &gt;.</w:t>
      </w:r>
    </w:p>
    <w:p w:rsidR="008C7EA8" w:rsidRDefault="008C7EA8">
      <w:pPr>
        <w:jc w:val="both"/>
        <w:rPr>
          <w:rFonts w:ascii="Times New Roman" w:eastAsia="Times New Roman" w:hAnsi="Times New Roman" w:cs="Times New Roman"/>
          <w:b/>
          <w:color w:val="BFBFBF"/>
        </w:rPr>
      </w:pPr>
    </w:p>
  </w:footnote>
  <w:footnote w:id="67">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a presente licitação não se trata de uma co</w:t>
      </w:r>
      <w:r>
        <w:rPr>
          <w:rFonts w:ascii="Times New Roman" w:eastAsia="Times New Roman" w:hAnsi="Times New Roman" w:cs="Times New Roman"/>
          <w:b/>
          <w:color w:val="BFBFBF"/>
        </w:rPr>
        <w:t>ntratação de serviços de engenharia, mas sim de uma mera aquisição de materiais, conforme item 1.2 do Termo de Referência (Anexo 01-D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68">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8.12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69">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8.12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70">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8.12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71">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8.12 deste</w:t>
      </w:r>
      <w:r>
        <w:rPr>
          <w:rFonts w:ascii="Times New Roman" w:eastAsia="Times New Roman" w:hAnsi="Times New Roman" w:cs="Times New Roman"/>
          <w:b/>
          <w:color w:val="BFBFBF"/>
        </w:rPr>
        <w:t xml:space="preserv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72">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8.12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73">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8.12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74">
    <w:p w:rsidR="008C7EA8" w:rsidRDefault="007C04D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w:t>
      </w:r>
      <w:r>
        <w:rPr>
          <w:rFonts w:ascii="Times New Roman" w:eastAsia="Times New Roman" w:hAnsi="Times New Roman" w:cs="Times New Roman"/>
          <w:b/>
          <w:color w:val="BFBFBF"/>
        </w:rPr>
        <w:t xml:space="preserve"> 8.7 deste Edital.</w:t>
      </w:r>
    </w:p>
    <w:p w:rsidR="008C7EA8" w:rsidRDefault="008C7EA8">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p>
  </w:footnote>
  <w:footnote w:id="75">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8.7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76">
    <w:p w:rsidR="008C7EA8" w:rsidRDefault="007C04D2">
      <w:pP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8.7 deste Edital.</w:t>
      </w:r>
    </w:p>
    <w:p w:rsidR="008C7EA8" w:rsidRDefault="008C7EA8">
      <w:pPr>
        <w:jc w:val="both"/>
        <w:rPr>
          <w:rFonts w:ascii="Times New Roman" w:eastAsia="Times New Roman" w:hAnsi="Times New Roman" w:cs="Times New Roman"/>
          <w:b/>
          <w:color w:val="BFBFBF"/>
        </w:rPr>
      </w:pPr>
    </w:p>
  </w:footnote>
  <w:footnote w:id="77">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8.7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78">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na presente licitação não há uma Planilha de Custos e Formação de Preços, e, portanto, não se vislumbra a necessidade de apresentação</w:t>
      </w:r>
      <w:r>
        <w:rPr>
          <w:rFonts w:ascii="Times New Roman" w:eastAsia="Times New Roman" w:hAnsi="Times New Roman" w:cs="Times New Roman"/>
          <w:b/>
          <w:color w:val="BFBFBF"/>
        </w:rPr>
        <w:t xml:space="preserve"> de detalhamento de alíquotas e encargos por meio da referida Planilha. Existe, neste caso em específico, apenas uma tabela de preços constante do item 1.1 do Termo de Referência (Anexo 01-D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79">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w:t>
      </w:r>
      <w:r>
        <w:rPr>
          <w:rFonts w:ascii="Times New Roman" w:eastAsia="Times New Roman" w:hAnsi="Times New Roman" w:cs="Times New Roman"/>
          <w:b/>
          <w:color w:val="BFBFBF"/>
        </w:rPr>
        <w:t>o utilizado para o item 8.15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80">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para o item 8.15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81">
    <w:p w:rsidR="008C7EA8" w:rsidRDefault="007C04D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tendo em vista que a presente licitação não solicitará amostras dos participantes, </w:t>
      </w:r>
      <w:r>
        <w:rPr>
          <w:rFonts w:ascii="Times New Roman" w:eastAsia="Times New Roman" w:hAnsi="Times New Roman" w:cs="Times New Roman"/>
          <w:b/>
          <w:color w:val="BFBFBF"/>
        </w:rPr>
        <w:t>opta-se pela exclusão do texto padrão da AGU que dispõe sobre tal. Ademais, não há qualquer previsão técnica sobre amostras no Termo de Referência, Anexo 01-D deste Edital.</w:t>
      </w:r>
    </w:p>
    <w:p w:rsidR="008C7EA8" w:rsidRDefault="008C7EA8">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p>
  </w:footnote>
  <w:footnote w:id="82">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8.17 deste Ed</w:t>
      </w:r>
      <w:r>
        <w:rPr>
          <w:rFonts w:ascii="Times New Roman" w:eastAsia="Times New Roman" w:hAnsi="Times New Roman" w:cs="Times New Roman"/>
          <w:b/>
          <w:color w:val="BFBFBF"/>
        </w:rPr>
        <w:t>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83">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8.17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84">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8.17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85">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w:t>
      </w:r>
      <w:r>
        <w:rPr>
          <w:rFonts w:ascii="Times New Roman" w:eastAsia="Times New Roman" w:hAnsi="Times New Roman" w:cs="Times New Roman"/>
          <w:b/>
          <w:color w:val="BFBFBF"/>
        </w:rPr>
        <w:t>17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86">
    <w:p w:rsidR="008C7EA8" w:rsidRDefault="007C04D2">
      <w:pPr>
        <w:pBdr>
          <w:top w:val="nil"/>
          <w:left w:val="nil"/>
          <w:bottom w:val="nil"/>
          <w:right w:val="nil"/>
          <w:between w:val="nil"/>
        </w:pBdr>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8.7 deste Edital.</w:t>
      </w:r>
    </w:p>
    <w:p w:rsidR="008C7EA8" w:rsidRDefault="008C7EA8">
      <w:pPr>
        <w:pBdr>
          <w:top w:val="nil"/>
          <w:left w:val="nil"/>
          <w:bottom w:val="nil"/>
          <w:right w:val="nil"/>
          <w:between w:val="nil"/>
        </w:pBdr>
        <w:rPr>
          <w:rFonts w:ascii="Times New Roman" w:eastAsia="Times New Roman" w:hAnsi="Times New Roman" w:cs="Times New Roman"/>
          <w:b/>
          <w:color w:val="BFBFBF"/>
        </w:rPr>
      </w:pPr>
    </w:p>
  </w:footnote>
  <w:footnote w:id="87">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8.7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88">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8.7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89">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8.7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90">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8.7 deste Ed</w:t>
      </w:r>
      <w:r>
        <w:rPr>
          <w:rFonts w:ascii="Times New Roman" w:eastAsia="Times New Roman" w:hAnsi="Times New Roman" w:cs="Times New Roman"/>
          <w:b/>
          <w:color w:val="BFBFBF"/>
        </w:rPr>
        <w:t>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91">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8.7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92">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8.7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93">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8.7 </w:t>
      </w:r>
      <w:r>
        <w:rPr>
          <w:rFonts w:ascii="Times New Roman" w:eastAsia="Times New Roman" w:hAnsi="Times New Roman" w:cs="Times New Roman"/>
          <w:b/>
          <w:color w:val="BFBFBF"/>
        </w:rPr>
        <w:t>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94">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8.7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95">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8.7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96">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3.10.11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97">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o mesmo motivo utilizado no item 3.10.11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98">
    <w:p w:rsidR="008C7EA8" w:rsidRDefault="007C04D2">
      <w:pP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alterada. Justificativa: a Administração opta por uma redação q</w:t>
      </w:r>
      <w:r>
        <w:rPr>
          <w:rFonts w:ascii="Times New Roman" w:eastAsia="Times New Roman" w:hAnsi="Times New Roman" w:cs="Times New Roman"/>
          <w:b/>
          <w:color w:val="BFBFBF"/>
        </w:rPr>
        <w:t xml:space="preserve">ue, </w:t>
      </w:r>
      <w:r>
        <w:rPr>
          <w:rFonts w:ascii="Times New Roman" w:eastAsia="Times New Roman" w:hAnsi="Times New Roman" w:cs="Times New Roman"/>
          <w:b/>
          <w:i/>
          <w:color w:val="BFBFBF"/>
        </w:rPr>
        <w:t>s.m.j.</w:t>
      </w:r>
      <w:r>
        <w:rPr>
          <w:rFonts w:ascii="Times New Roman" w:eastAsia="Times New Roman" w:hAnsi="Times New Roman" w:cs="Times New Roman"/>
          <w:b/>
          <w:color w:val="BFBFBF"/>
        </w:rPr>
        <w:t>, permita a compreensão de que serão aceitos documentos habilitatórios por todos os meios legalmente aceitos, desde que tempestivos e em conformidade com este Edital.</w:t>
      </w:r>
    </w:p>
    <w:p w:rsidR="008C7EA8" w:rsidRDefault="008C7EA8">
      <w:pPr>
        <w:jc w:val="both"/>
        <w:rPr>
          <w:rFonts w:ascii="Times New Roman" w:eastAsia="Times New Roman" w:hAnsi="Times New Roman" w:cs="Times New Roman"/>
          <w:b/>
          <w:color w:val="BFBFBF"/>
        </w:rPr>
      </w:pPr>
    </w:p>
  </w:footnote>
  <w:footnote w:id="99">
    <w:p w:rsidR="008C7EA8" w:rsidRDefault="007C04D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highlight w:val="white"/>
        </w:rPr>
        <w:t xml:space="preserve"> Redação alterada. Justificativa: os licitantes que optarem pelo uso da visto</w:t>
      </w:r>
      <w:r>
        <w:rPr>
          <w:rFonts w:ascii="Times New Roman" w:eastAsia="Times New Roman" w:hAnsi="Times New Roman" w:cs="Times New Roman"/>
          <w:b/>
          <w:color w:val="BFBFBF"/>
          <w:highlight w:val="white"/>
        </w:rPr>
        <w:t>ria (visita técnica ao local do serviço objeto deste certame), deverão assinar/concordar com o disposto n</w:t>
      </w:r>
      <w:r>
        <w:rPr>
          <w:rFonts w:ascii="Times New Roman" w:eastAsia="Times New Roman" w:hAnsi="Times New Roman" w:cs="Times New Roman"/>
          <w:b/>
          <w:color w:val="BFBFBF"/>
        </w:rPr>
        <w:t xml:space="preserve">o Termo de Vistoria, </w:t>
      </w:r>
      <w:r>
        <w:rPr>
          <w:rFonts w:ascii="Times New Roman" w:eastAsia="Times New Roman" w:hAnsi="Times New Roman" w:cs="Times New Roman"/>
          <w:b/>
          <w:color w:val="BFBFBF"/>
          <w:highlight w:val="white"/>
        </w:rPr>
        <w:t>conforme Anexo 04-A deste Edital. Por outro lado, os licitantes que NÃO optarem pelo uso da vistoria, deverão assinar/concordar co</w:t>
      </w:r>
      <w:r>
        <w:rPr>
          <w:rFonts w:ascii="Times New Roman" w:eastAsia="Times New Roman" w:hAnsi="Times New Roman" w:cs="Times New Roman"/>
          <w:b/>
          <w:color w:val="BFBFBF"/>
          <w:highlight w:val="white"/>
        </w:rPr>
        <w:t xml:space="preserve">m o estabelecido na Declaração de Conhecimento das Condições Locais </w:t>
      </w:r>
      <w:r>
        <w:rPr>
          <w:rFonts w:ascii="Times New Roman" w:eastAsia="Times New Roman" w:hAnsi="Times New Roman" w:cs="Times New Roman"/>
          <w:b/>
          <w:color w:val="BFBFBF"/>
        </w:rPr>
        <w:t xml:space="preserve">e Dificuldades na Entrega/Execução de </w:t>
      </w:r>
      <w:proofErr w:type="gramStart"/>
      <w:r>
        <w:rPr>
          <w:rFonts w:ascii="Times New Roman" w:eastAsia="Times New Roman" w:hAnsi="Times New Roman" w:cs="Times New Roman"/>
          <w:b/>
          <w:color w:val="BFBFBF"/>
        </w:rPr>
        <w:t>Bem(</w:t>
      </w:r>
      <w:proofErr w:type="spellStart"/>
      <w:proofErr w:type="gramEnd"/>
      <w:r>
        <w:rPr>
          <w:rFonts w:ascii="Times New Roman" w:eastAsia="Times New Roman" w:hAnsi="Times New Roman" w:cs="Times New Roman"/>
          <w:b/>
          <w:color w:val="BFBFBF"/>
        </w:rPr>
        <w:t>ns</w:t>
      </w:r>
      <w:proofErr w:type="spellEnd"/>
      <w:r>
        <w:rPr>
          <w:rFonts w:ascii="Times New Roman" w:eastAsia="Times New Roman" w:hAnsi="Times New Roman" w:cs="Times New Roman"/>
          <w:b/>
          <w:color w:val="BFBFBF"/>
        </w:rPr>
        <w:t>)/Serviço(s)/Obra(s)</w:t>
      </w:r>
      <w:r>
        <w:rPr>
          <w:rFonts w:ascii="Times New Roman" w:eastAsia="Times New Roman" w:hAnsi="Times New Roman" w:cs="Times New Roman"/>
          <w:b/>
          <w:color w:val="BFBFBF"/>
          <w:highlight w:val="white"/>
        </w:rPr>
        <w:t>, conforme Anexo 04-B deste Edital.</w:t>
      </w:r>
    </w:p>
    <w:p w:rsidR="008C7EA8" w:rsidRDefault="008C7EA8">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p>
  </w:footnote>
  <w:footnote w:id="100">
    <w:p w:rsidR="008C7EA8" w:rsidRDefault="007C04D2">
      <w:pP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alterada. Justificativa: para melhor compreensão das disposições relativas ao</w:t>
      </w:r>
      <w:r>
        <w:rPr>
          <w:rFonts w:ascii="Times New Roman" w:eastAsia="Times New Roman" w:hAnsi="Times New Roman" w:cs="Times New Roman"/>
          <w:b/>
          <w:color w:val="BFBFBF"/>
        </w:rPr>
        <w:t xml:space="preserve"> eventual agendamento para vistoria prévia, remete-se tal possibilidade às condições estipuladas no Termo de Referência (Anexo 01-D deste Edital).</w:t>
      </w:r>
    </w:p>
    <w:p w:rsidR="008C7EA8" w:rsidRDefault="008C7EA8">
      <w:pPr>
        <w:jc w:val="both"/>
        <w:rPr>
          <w:rFonts w:ascii="Times New Roman" w:eastAsia="Times New Roman" w:hAnsi="Times New Roman" w:cs="Times New Roman"/>
          <w:b/>
          <w:color w:val="BFBFBF"/>
        </w:rPr>
      </w:pPr>
    </w:p>
  </w:footnote>
  <w:footnote w:id="101">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w:t>
      </w:r>
      <w:r>
        <w:rPr>
          <w:rFonts w:ascii="Times New Roman" w:eastAsia="Times New Roman" w:hAnsi="Times New Roman" w:cs="Times New Roman"/>
          <w:b/>
          <w:color w:val="BFBFBF"/>
          <w:highlight w:val="white"/>
        </w:rPr>
        <w:t>Redação alterada. Justificativa: os licitantes que NÃO optarem pelo uso da vistoria, deverão assinar/conco</w:t>
      </w:r>
      <w:r>
        <w:rPr>
          <w:rFonts w:ascii="Times New Roman" w:eastAsia="Times New Roman" w:hAnsi="Times New Roman" w:cs="Times New Roman"/>
          <w:b/>
          <w:color w:val="BFBFBF"/>
          <w:highlight w:val="white"/>
        </w:rPr>
        <w:t xml:space="preserve">rdar com o estabelecido na Declaração de Conhecimento das Condições Locais </w:t>
      </w:r>
      <w:r>
        <w:rPr>
          <w:rFonts w:ascii="Times New Roman" w:eastAsia="Times New Roman" w:hAnsi="Times New Roman" w:cs="Times New Roman"/>
          <w:b/>
          <w:color w:val="BFBFBF"/>
        </w:rPr>
        <w:t xml:space="preserve">e Dificuldades na Entrega/Execução de </w:t>
      </w:r>
      <w:proofErr w:type="gramStart"/>
      <w:r>
        <w:rPr>
          <w:rFonts w:ascii="Times New Roman" w:eastAsia="Times New Roman" w:hAnsi="Times New Roman" w:cs="Times New Roman"/>
          <w:b/>
          <w:color w:val="BFBFBF"/>
        </w:rPr>
        <w:t>Bem(</w:t>
      </w:r>
      <w:proofErr w:type="spellStart"/>
      <w:proofErr w:type="gramEnd"/>
      <w:r>
        <w:rPr>
          <w:rFonts w:ascii="Times New Roman" w:eastAsia="Times New Roman" w:hAnsi="Times New Roman" w:cs="Times New Roman"/>
          <w:b/>
          <w:color w:val="BFBFBF"/>
        </w:rPr>
        <w:t>ns</w:t>
      </w:r>
      <w:proofErr w:type="spellEnd"/>
      <w:r>
        <w:rPr>
          <w:rFonts w:ascii="Times New Roman" w:eastAsia="Times New Roman" w:hAnsi="Times New Roman" w:cs="Times New Roman"/>
          <w:b/>
          <w:color w:val="BFBFBF"/>
        </w:rPr>
        <w:t>)/Serviço(s)/Obra(s)</w:t>
      </w:r>
      <w:r>
        <w:rPr>
          <w:rFonts w:ascii="Times New Roman" w:eastAsia="Times New Roman" w:hAnsi="Times New Roman" w:cs="Times New Roman"/>
          <w:b/>
          <w:color w:val="BFBFBF"/>
          <w:highlight w:val="white"/>
        </w:rPr>
        <w:t>, conforme Anexo 04-B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102">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como mero preenchimento das lacunas. Nota explicativa: Por ser uma lic</w:t>
      </w:r>
      <w:r>
        <w:rPr>
          <w:rFonts w:ascii="Times New Roman" w:eastAsia="Times New Roman" w:hAnsi="Times New Roman" w:cs="Times New Roman"/>
          <w:b/>
          <w:color w:val="BFBFBF"/>
        </w:rPr>
        <w:t xml:space="preserve">itação que tem por objeto a aquisição de materiais, a Administração optou, de forma bastante razoável, </w:t>
      </w:r>
      <w:r>
        <w:rPr>
          <w:rFonts w:ascii="Times New Roman" w:eastAsia="Times New Roman" w:hAnsi="Times New Roman" w:cs="Times New Roman"/>
          <w:b/>
          <w:color w:val="BFBFBF"/>
          <w:u w:val="single"/>
        </w:rPr>
        <w:t>pelo prazo de 24 (vinte e quatro) horas, prorrogável por igual período, a critério da Administração,</w:t>
      </w:r>
      <w:r>
        <w:rPr>
          <w:rFonts w:ascii="Times New Roman" w:eastAsia="Times New Roman" w:hAnsi="Times New Roman" w:cs="Times New Roman"/>
          <w:b/>
          <w:color w:val="BFBFBF"/>
        </w:rPr>
        <w:t xml:space="preserve"> discricionariedade permitida pelo </w:t>
      </w:r>
      <w:hyperlink r:id="rId6">
        <w:r>
          <w:rPr>
            <w:rFonts w:ascii="Times New Roman" w:eastAsia="Times New Roman" w:hAnsi="Times New Roman" w:cs="Times New Roman"/>
            <w:b/>
            <w:color w:val="BFBFBF"/>
          </w:rPr>
          <w:t>art. 29, § 2º, da IN SEGES nº 73, de 30 de setembro de 2022</w:t>
        </w:r>
      </w:hyperlink>
      <w:r>
        <w:rPr>
          <w:rFonts w:ascii="Times New Roman" w:eastAsia="Times New Roman" w:hAnsi="Times New Roman" w:cs="Times New Roman"/>
          <w:b/>
          <w:color w:val="BFBFBF"/>
        </w:rPr>
        <w:t>, uma vez que foi respeitado o prazo mínimo de 02</w:t>
      </w:r>
      <w:r>
        <w:rPr>
          <w:rFonts w:ascii="Times New Roman" w:eastAsia="Times New Roman" w:hAnsi="Times New Roman" w:cs="Times New Roman"/>
          <w:b/>
          <w:color w:val="BFBFBF"/>
        </w:rPr>
        <w:t xml:space="preserve"> (duas) horas, prorrogável por igual período.</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103">
    <w:p w:rsidR="008C7EA8" w:rsidRDefault="007C04D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como mero preenchimento das lacunas. Nota explicativa: essa diligência é cabível no caso de o documento apresentado ser inconclusivo quanto ao atendimento de requisitos do Edital.</w:t>
      </w:r>
    </w:p>
    <w:p w:rsidR="008C7EA8" w:rsidRDefault="008C7EA8">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p>
  </w:footnote>
  <w:footnote w:id="104">
    <w:p w:rsidR="008C7EA8" w:rsidRDefault="007C04D2">
      <w:pP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alterada. Justificativa: conforme art. 7º, § 5º da Lei nº 14.133, de 2021, nas licitações na modalidade pregão, o agente responsável pela condução do certame é denominado “pregoeiro”, motivo pelo qual retira-se a menção à “comissão de contratação”</w:t>
      </w:r>
      <w:r>
        <w:rPr>
          <w:rFonts w:ascii="Times New Roman" w:eastAsia="Times New Roman" w:hAnsi="Times New Roman" w:cs="Times New Roman"/>
          <w:b/>
          <w:color w:val="BFBFBF"/>
        </w:rPr>
        <w:t xml:space="preserve"> constante no texto padrão da AGU.</w:t>
      </w:r>
    </w:p>
    <w:p w:rsidR="008C7EA8" w:rsidRDefault="008C7EA8">
      <w:pPr>
        <w:jc w:val="both"/>
        <w:rPr>
          <w:rFonts w:ascii="Times New Roman" w:eastAsia="Times New Roman" w:hAnsi="Times New Roman" w:cs="Times New Roman"/>
          <w:b/>
          <w:color w:val="BFBFBF"/>
        </w:rPr>
      </w:pPr>
    </w:p>
  </w:footnote>
  <w:footnote w:id="105">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como mero preenchimento das lacunas. Nota explicativa: a Administração, por discricionariedade, entendeu que o prazo de 05 (cinco) dias úteis é bastante razoável para tal feito.</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106">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como mero preenchimento das lacunas. Nota explicativa: o mesmo motivo utilizado para o item 10.2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107">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como mero preenchimento das lacunas. Nota explicativa: o mesmo motivo utilizado para o item 10.2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108">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com</w:t>
      </w:r>
      <w:r>
        <w:rPr>
          <w:rFonts w:ascii="Times New Roman" w:eastAsia="Times New Roman" w:hAnsi="Times New Roman" w:cs="Times New Roman"/>
          <w:b/>
          <w:color w:val="BFBFBF"/>
        </w:rPr>
        <w:t>o mero preenchimento das lacunas. Nota explicativa: o mesmo motivo utilizado para o item 10.2 deste Edital.</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109">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a presente licitação não tem por objeto a contratação de serviços com dedicação exclusiva de mão de obra, mas s</w:t>
      </w:r>
      <w:r>
        <w:rPr>
          <w:rFonts w:ascii="Times New Roman" w:eastAsia="Times New Roman" w:hAnsi="Times New Roman" w:cs="Times New Roman"/>
          <w:b/>
          <w:color w:val="BFBFBF"/>
        </w:rPr>
        <w:t>im a mera aquisição de materiais.</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110">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a presente licitação não tem por objeto a contratação de serviços de vigilância ou transporte de valores com dedicação exclusiva de mão de obra, mas sim a mera aquisição de materiais.</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111">
    <w:p w:rsidR="008C7EA8" w:rsidRDefault="007C04D2">
      <w:pPr>
        <w:pBdr>
          <w:top w:val="nil"/>
          <w:left w:val="nil"/>
          <w:bottom w:val="nil"/>
          <w:right w:val="nil"/>
          <w:between w:val="nil"/>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suprimida. Justificativa: Redação suprimida. Justificativa: a presente licitação não tem por objeto a contratação de obras, serviços e fornecimentos de grande vulto, mas sim a mera aquisição de materiais.</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 w:id="112">
    <w:p w:rsidR="008C7EA8" w:rsidRDefault="007C04D2">
      <w:pP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alterada. Justificativa: a fim</w:t>
      </w:r>
      <w:r>
        <w:rPr>
          <w:rFonts w:ascii="Times New Roman" w:eastAsia="Times New Roman" w:hAnsi="Times New Roman" w:cs="Times New Roman"/>
          <w:b/>
          <w:color w:val="BFBFBF"/>
        </w:rPr>
        <w:t xml:space="preserve"> de se imprimir maior transparência não apenas ao Edital, mas a todos os atos inerentes à contratação, a Administração disponibiliza páginas específicas para consulta ao inteiro teor do processo e aos documentos integrantes do instrumento convocatório.</w:t>
      </w:r>
    </w:p>
    <w:p w:rsidR="008C7EA8" w:rsidRDefault="008C7EA8">
      <w:pPr>
        <w:jc w:val="both"/>
        <w:rPr>
          <w:rFonts w:ascii="Times New Roman" w:eastAsia="Times New Roman" w:hAnsi="Times New Roman" w:cs="Times New Roman"/>
          <w:b/>
          <w:color w:val="BFBFBF"/>
        </w:rPr>
      </w:pPr>
    </w:p>
  </w:footnote>
  <w:footnote w:id="113">
    <w:p w:rsidR="008C7EA8" w:rsidRDefault="007C04D2">
      <w:pP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w:t>
      </w:r>
      <w:r>
        <w:rPr>
          <w:rFonts w:ascii="Times New Roman" w:eastAsia="Times New Roman" w:hAnsi="Times New Roman" w:cs="Times New Roman"/>
          <w:b/>
          <w:color w:val="BFBFBF"/>
        </w:rPr>
        <w:t>Redação alterada. Justificativa: redação alterada para melhor compreensão dos licitantes. As regras referentes à aplicação de multa consideram o vulto da contratação, a finalidade do objeto e as possibilidades de gradação da sanção em razão da eventual con</w:t>
      </w:r>
      <w:r>
        <w:rPr>
          <w:rFonts w:ascii="Times New Roman" w:eastAsia="Times New Roman" w:hAnsi="Times New Roman" w:cs="Times New Roman"/>
          <w:b/>
          <w:color w:val="BFBFBF"/>
        </w:rPr>
        <w:t>duta de licitante. Ademais, reforça-se que a Administração, por intermédio da autoridade competente para tal, quando da aplicação de punição considerará os princípios da ampla defesa, contraditório, razoabilidade, proporcionalidade, honestidade, boa fé e o</w:t>
      </w:r>
      <w:r>
        <w:rPr>
          <w:rFonts w:ascii="Times New Roman" w:eastAsia="Times New Roman" w:hAnsi="Times New Roman" w:cs="Times New Roman"/>
          <w:b/>
          <w:color w:val="BFBFBF"/>
        </w:rPr>
        <w:t>utros que lhes sejam correlatos.</w:t>
      </w:r>
    </w:p>
    <w:p w:rsidR="008C7EA8" w:rsidRDefault="008C7EA8">
      <w:pPr>
        <w:jc w:val="both"/>
        <w:rPr>
          <w:rFonts w:ascii="Times New Roman" w:eastAsia="Times New Roman" w:hAnsi="Times New Roman" w:cs="Times New Roman"/>
          <w:b/>
          <w:color w:val="BFBFBF"/>
        </w:rPr>
      </w:pPr>
    </w:p>
  </w:footnote>
  <w:footnote w:id="114">
    <w:p w:rsidR="008C7EA8" w:rsidRDefault="007C04D2">
      <w:pP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alterada. Justificativa: a fim de que se facilite o acesso dos licitantes à Administração, bem como de maneira a se imprimir maior celeridade e eficiência, define-se como único meio de impugnação ou solicitação d</w:t>
      </w:r>
      <w:r>
        <w:rPr>
          <w:rFonts w:ascii="Times New Roman" w:eastAsia="Times New Roman" w:hAnsi="Times New Roman" w:cs="Times New Roman"/>
          <w:b/>
          <w:color w:val="BFBFBF"/>
        </w:rPr>
        <w:t>e esclarecimentos a remessa por e-mail, tendo em vista que se trata de licitação promovida exclusivamente em meio eletrônico.</w:t>
      </w:r>
    </w:p>
    <w:p w:rsidR="008C7EA8" w:rsidRDefault="008C7EA8">
      <w:pPr>
        <w:jc w:val="both"/>
        <w:rPr>
          <w:rFonts w:ascii="Times New Roman" w:eastAsia="Times New Roman" w:hAnsi="Times New Roman" w:cs="Times New Roman"/>
          <w:b/>
          <w:color w:val="BFBFBF"/>
        </w:rPr>
      </w:pPr>
    </w:p>
  </w:footnote>
  <w:footnote w:id="115">
    <w:p w:rsidR="008C7EA8" w:rsidRDefault="007C04D2">
      <w:pP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alterada. Justificativa: a Administração opta por alterar a redação da minuta da AGU a fim de deixar mais evidente a ex</w:t>
      </w:r>
      <w:r>
        <w:rPr>
          <w:rFonts w:ascii="Times New Roman" w:eastAsia="Times New Roman" w:hAnsi="Times New Roman" w:cs="Times New Roman"/>
          <w:b/>
          <w:color w:val="BFBFBF"/>
        </w:rPr>
        <w:t>cepcionalidade do eventual efeito suspensivo imposto por ocasião de impugnação. Ademais, a fim de garantir maior transparência e publicidade, reforça-se que a suspensão será objeto de aviso no sistema eletrônico adotado para condução do certame e na página</w:t>
      </w:r>
      <w:r>
        <w:rPr>
          <w:rFonts w:ascii="Times New Roman" w:eastAsia="Times New Roman" w:hAnsi="Times New Roman" w:cs="Times New Roman"/>
          <w:b/>
          <w:color w:val="BFBFBF"/>
        </w:rPr>
        <w:t xml:space="preserve"> da UASG responsável.</w:t>
      </w:r>
    </w:p>
    <w:p w:rsidR="008C7EA8" w:rsidRDefault="008C7EA8">
      <w:pPr>
        <w:jc w:val="both"/>
        <w:rPr>
          <w:rFonts w:ascii="Times New Roman" w:eastAsia="Times New Roman" w:hAnsi="Times New Roman" w:cs="Times New Roman"/>
          <w:b/>
          <w:color w:val="BFBFBF"/>
        </w:rPr>
      </w:pPr>
    </w:p>
  </w:footnote>
  <w:footnote w:id="116">
    <w:p w:rsidR="008C7EA8" w:rsidRDefault="007C04D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r>
        <w:rPr>
          <w:vertAlign w:val="superscript"/>
        </w:rPr>
        <w:footnoteRef/>
      </w:r>
      <w:r>
        <w:rPr>
          <w:rFonts w:ascii="Times New Roman" w:eastAsia="Times New Roman" w:hAnsi="Times New Roman" w:cs="Times New Roman"/>
          <w:b/>
          <w:color w:val="BFBFBF"/>
        </w:rPr>
        <w:t xml:space="preserve"> Redação incluída. Justificativa: a fim de se evitarem dúvidas e questionamentos acerca da prevalência de propostas ou lances, a Administração fixa no Edital a regra em comento, reforçando que o que prevalecerá em todos os casos são os lances, ressalva a n</w:t>
      </w:r>
      <w:r>
        <w:rPr>
          <w:rFonts w:ascii="Times New Roman" w:eastAsia="Times New Roman" w:hAnsi="Times New Roman" w:cs="Times New Roman"/>
          <w:b/>
          <w:color w:val="BFBFBF"/>
        </w:rPr>
        <w:t>egociação conduzida pelo pregoeiro, situação e que, a depender do caso, o licitante poderá alterar sua proposta em conformidade com as demais condições definidas neste Edital.</w:t>
      </w:r>
    </w:p>
    <w:p w:rsidR="008C7EA8" w:rsidRDefault="008C7EA8">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b/>
          <w:color w:val="BFBFBF"/>
        </w:rPr>
      </w:pPr>
    </w:p>
  </w:footnote>
  <w:footnote w:id="117">
    <w:p w:rsidR="008C7EA8" w:rsidRDefault="007C04D2">
      <w:pPr>
        <w:pBdr>
          <w:top w:val="nil"/>
          <w:left w:val="nil"/>
          <w:bottom w:val="nil"/>
          <w:right w:val="nil"/>
          <w:between w:val="nil"/>
        </w:pBdr>
        <w:jc w:val="both"/>
        <w:rPr>
          <w:rFonts w:ascii="Times New Roman" w:eastAsia="Times New Roman" w:hAnsi="Times New Roman" w:cs="Times New Roman"/>
          <w:b/>
          <w:color w:val="BFBFBF"/>
        </w:rPr>
      </w:pPr>
      <w:bookmarkStart w:id="52" w:name="_heading=h.tcz0egizfjtp" w:colFirst="0" w:colLast="0"/>
      <w:bookmarkEnd w:id="52"/>
      <w:r>
        <w:rPr>
          <w:vertAlign w:val="superscript"/>
        </w:rPr>
        <w:footnoteRef/>
      </w:r>
      <w:r>
        <w:rPr>
          <w:rFonts w:ascii="Times New Roman" w:eastAsia="Times New Roman" w:hAnsi="Times New Roman" w:cs="Times New Roman"/>
          <w:b/>
          <w:color w:val="BFBFBF"/>
        </w:rPr>
        <w:t xml:space="preserve"> Redação incluída. Justificativa: dispositivo incluído para facilitar o contat</w:t>
      </w:r>
      <w:r>
        <w:rPr>
          <w:rFonts w:ascii="Times New Roman" w:eastAsia="Times New Roman" w:hAnsi="Times New Roman" w:cs="Times New Roman"/>
          <w:b/>
          <w:color w:val="BFBFBF"/>
        </w:rPr>
        <w:t xml:space="preserve">o da UFPB com </w:t>
      </w:r>
      <w:proofErr w:type="gramStart"/>
      <w:r>
        <w:rPr>
          <w:rFonts w:ascii="Times New Roman" w:eastAsia="Times New Roman" w:hAnsi="Times New Roman" w:cs="Times New Roman"/>
          <w:b/>
          <w:color w:val="BFBFBF"/>
        </w:rPr>
        <w:t>a(</w:t>
      </w:r>
      <w:proofErr w:type="gramEnd"/>
      <w:r>
        <w:rPr>
          <w:rFonts w:ascii="Times New Roman" w:eastAsia="Times New Roman" w:hAnsi="Times New Roman" w:cs="Times New Roman"/>
          <w:b/>
          <w:color w:val="BFBFBF"/>
        </w:rPr>
        <w:t>s) empresa(s) posteriormente à conclusão do procedimento licitatório.</w:t>
      </w:r>
    </w:p>
    <w:p w:rsidR="008C7EA8" w:rsidRDefault="008C7EA8">
      <w:pPr>
        <w:pBdr>
          <w:top w:val="nil"/>
          <w:left w:val="nil"/>
          <w:bottom w:val="nil"/>
          <w:right w:val="nil"/>
          <w:between w:val="nil"/>
        </w:pBdr>
        <w:jc w:val="both"/>
        <w:rPr>
          <w:rFonts w:ascii="Times New Roman" w:eastAsia="Times New Roman" w:hAnsi="Times New Roman" w:cs="Times New Roman"/>
          <w:b/>
          <w:color w:val="BFBFBF"/>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A8" w:rsidRDefault="007C04D2">
    <w:pPr>
      <w:pBdr>
        <w:top w:val="none" w:sz="0" w:space="0" w:color="000000"/>
        <w:left w:val="none" w:sz="0" w:space="0" w:color="000000"/>
        <w:bottom w:val="single" w:sz="4" w:space="1" w:color="000000"/>
        <w:right w:val="none" w:sz="0" w:space="0" w:color="000000"/>
        <w:between w:val="none" w:sz="0" w:space="0" w:color="000000"/>
      </w:pBdr>
      <w:tabs>
        <w:tab w:val="center" w:pos="4252"/>
        <w:tab w:val="right" w:pos="8504"/>
        <w:tab w:val="right" w:pos="8789"/>
      </w:tabs>
    </w:pPr>
    <w:r>
      <w:rPr>
        <w:rFonts w:ascii="Times New Roman" w:eastAsia="Times New Roman" w:hAnsi="Times New Roman" w:cs="Times New Roman"/>
        <w:b/>
        <w:i/>
      </w:rPr>
      <w:t>Pregão Eletrônico UFPB/SOF/CLC Nº 900</w:t>
    </w:r>
    <w:r>
      <w:rPr>
        <w:rFonts w:ascii="Times New Roman" w:eastAsia="Times New Roman" w:hAnsi="Times New Roman" w:cs="Times New Roman"/>
        <w:b/>
        <w:i/>
        <w:highlight w:val="white"/>
      </w:rPr>
      <w:t>06</w:t>
    </w:r>
    <w:r>
      <w:rPr>
        <w:rFonts w:ascii="Times New Roman" w:eastAsia="Times New Roman" w:hAnsi="Times New Roman" w:cs="Times New Roman"/>
        <w:b/>
        <w:i/>
      </w:rPr>
      <w:t>/2025</w:t>
    </w:r>
    <w:r>
      <w:rPr>
        <w:rFonts w:ascii="Times New Roman" w:eastAsia="Times New Roman" w:hAnsi="Times New Roman" w:cs="Times New Roman"/>
        <w:b/>
        <w:i/>
      </w:rPr>
      <w:tab/>
      <w:t xml:space="preserve">                                                                           Página </w:t>
    </w:r>
    <w:r>
      <w:rPr>
        <w:rFonts w:ascii="Times New Roman" w:eastAsia="Times New Roman" w:hAnsi="Times New Roman" w:cs="Times New Roman"/>
        <w:b/>
        <w:i/>
      </w:rPr>
      <w:fldChar w:fldCharType="begin"/>
    </w:r>
    <w:r>
      <w:rPr>
        <w:rFonts w:ascii="Times New Roman" w:eastAsia="Times New Roman" w:hAnsi="Times New Roman" w:cs="Times New Roman"/>
        <w:b/>
        <w:i/>
      </w:rPr>
      <w:instrText>PAGE</w:instrText>
    </w:r>
    <w:r w:rsidR="0039755F">
      <w:rPr>
        <w:rFonts w:ascii="Times New Roman" w:eastAsia="Times New Roman" w:hAnsi="Times New Roman" w:cs="Times New Roman"/>
        <w:b/>
        <w:i/>
      </w:rPr>
      <w:fldChar w:fldCharType="separate"/>
    </w:r>
    <w:r w:rsidR="0039755F">
      <w:rPr>
        <w:rFonts w:ascii="Times New Roman" w:eastAsia="Times New Roman" w:hAnsi="Times New Roman" w:cs="Times New Roman"/>
        <w:b/>
        <w:i/>
        <w:noProof/>
      </w:rPr>
      <w:t>20</w:t>
    </w:r>
    <w:r>
      <w:rPr>
        <w:rFonts w:ascii="Times New Roman" w:eastAsia="Times New Roman" w:hAnsi="Times New Roman" w:cs="Times New Roman"/>
        <w:b/>
        <w:i/>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A8" w:rsidRDefault="007C04D2">
    <w:pPr>
      <w:pBdr>
        <w:top w:val="none" w:sz="0" w:space="0" w:color="000000"/>
        <w:left w:val="none" w:sz="0" w:space="0" w:color="000000"/>
        <w:bottom w:val="single" w:sz="4" w:space="1" w:color="000000"/>
        <w:right w:val="none" w:sz="0" w:space="0" w:color="000000"/>
        <w:between w:val="none" w:sz="0" w:space="0" w:color="000000"/>
      </w:pBdr>
      <w:tabs>
        <w:tab w:val="center" w:pos="4252"/>
        <w:tab w:val="right" w:pos="8504"/>
        <w:tab w:val="right" w:pos="8789"/>
      </w:tabs>
    </w:pPr>
    <w:r>
      <w:rPr>
        <w:rFonts w:ascii="Times New Roman" w:eastAsia="Times New Roman" w:hAnsi="Times New Roman" w:cs="Times New Roman"/>
        <w:b/>
        <w:i/>
      </w:rPr>
      <w:t>Pregão Eletrônico UFPB/SOF/CLC Nº 900</w:t>
    </w:r>
    <w:r>
      <w:rPr>
        <w:rFonts w:ascii="Times New Roman" w:eastAsia="Times New Roman" w:hAnsi="Times New Roman" w:cs="Times New Roman"/>
        <w:b/>
        <w:i/>
        <w:highlight w:val="white"/>
      </w:rPr>
      <w:t>06/</w:t>
    </w:r>
    <w:r>
      <w:rPr>
        <w:rFonts w:ascii="Times New Roman" w:eastAsia="Times New Roman" w:hAnsi="Times New Roman" w:cs="Times New Roman"/>
        <w:b/>
        <w:i/>
      </w:rPr>
      <w:t>2025</w:t>
    </w:r>
    <w:r>
      <w:rPr>
        <w:rFonts w:ascii="Times New Roman" w:eastAsia="Times New Roman" w:hAnsi="Times New Roman" w:cs="Times New Roman"/>
        <w:b/>
        <w:i/>
      </w:rPr>
      <w:tab/>
      <w:t xml:space="preserve">                             </w:t>
    </w:r>
    <w:r>
      <w:rPr>
        <w:rFonts w:ascii="Times New Roman" w:eastAsia="Times New Roman" w:hAnsi="Times New Roman" w:cs="Times New Roman"/>
        <w:b/>
        <w:i/>
      </w:rPr>
      <w:t xml:space="preserve">                                                Página </w:t>
    </w:r>
    <w:r>
      <w:rPr>
        <w:rFonts w:ascii="Times New Roman" w:eastAsia="Times New Roman" w:hAnsi="Times New Roman" w:cs="Times New Roman"/>
        <w:b/>
        <w:i/>
      </w:rPr>
      <w:fldChar w:fldCharType="begin"/>
    </w:r>
    <w:r>
      <w:rPr>
        <w:rFonts w:ascii="Times New Roman" w:eastAsia="Times New Roman" w:hAnsi="Times New Roman" w:cs="Times New Roman"/>
        <w:b/>
        <w:i/>
      </w:rPr>
      <w:instrText>PAGE</w:instrText>
    </w:r>
    <w:r w:rsidR="0039755F">
      <w:rPr>
        <w:rFonts w:ascii="Times New Roman" w:eastAsia="Times New Roman" w:hAnsi="Times New Roman" w:cs="Times New Roman"/>
        <w:b/>
        <w:i/>
      </w:rPr>
      <w:fldChar w:fldCharType="separate"/>
    </w:r>
    <w:r w:rsidR="0039755F">
      <w:rPr>
        <w:rFonts w:ascii="Times New Roman" w:eastAsia="Times New Roman" w:hAnsi="Times New Roman" w:cs="Times New Roman"/>
        <w:b/>
        <w:i/>
        <w:noProof/>
      </w:rPr>
      <w:t>3</w:t>
    </w:r>
    <w:r>
      <w:rPr>
        <w:rFonts w:ascii="Times New Roman" w:eastAsia="Times New Roman" w:hAnsi="Times New Roman" w:cs="Times New Roman"/>
        <w:b/>
        <w:i/>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A8" w:rsidRDefault="007C04D2">
    <w:pPr>
      <w:pBdr>
        <w:top w:val="none" w:sz="0" w:space="0" w:color="000000"/>
        <w:left w:val="none" w:sz="0" w:space="0" w:color="000000"/>
        <w:bottom w:val="single" w:sz="4" w:space="1" w:color="000000"/>
        <w:right w:val="none" w:sz="0" w:space="0" w:color="000000"/>
        <w:between w:val="none" w:sz="0" w:space="0" w:color="000000"/>
      </w:pBdr>
      <w:tabs>
        <w:tab w:val="center" w:pos="4252"/>
        <w:tab w:val="right" w:pos="8504"/>
        <w:tab w:val="right" w:pos="8789"/>
      </w:tabs>
    </w:pPr>
    <w:r>
      <w:rPr>
        <w:rFonts w:ascii="Times New Roman" w:eastAsia="Times New Roman" w:hAnsi="Times New Roman" w:cs="Times New Roman"/>
        <w:b/>
        <w:i/>
      </w:rPr>
      <w:t>Pregão Eletrônico UFPB/SOF/CLC Nº 90014/ 2024</w:t>
    </w:r>
    <w:r>
      <w:rPr>
        <w:rFonts w:ascii="Times New Roman" w:eastAsia="Times New Roman" w:hAnsi="Times New Roman" w:cs="Times New Roman"/>
        <w:b/>
        <w:i/>
      </w:rPr>
      <w:tab/>
      <w:t xml:space="preserve">Página </w:t>
    </w:r>
    <w:r>
      <w:rPr>
        <w:rFonts w:ascii="Times New Roman" w:eastAsia="Times New Roman" w:hAnsi="Times New Roman" w:cs="Times New Roman"/>
        <w:b/>
        <w:i/>
      </w:rPr>
      <w:fldChar w:fldCharType="begin"/>
    </w:r>
    <w:r>
      <w:rPr>
        <w:rFonts w:ascii="Times New Roman" w:eastAsia="Times New Roman" w:hAnsi="Times New Roman" w:cs="Times New Roman"/>
        <w:b/>
        <w:i/>
      </w:rPr>
      <w:instrText>PAGE</w:instrText>
    </w:r>
    <w:r>
      <w:rPr>
        <w:rFonts w:ascii="Times New Roman" w:eastAsia="Times New Roman" w:hAnsi="Times New Roman" w:cs="Times New Roman"/>
        <w:b/>
        <w:i/>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A8" w:rsidRDefault="007C04D2">
    <w:pPr>
      <w:pBdr>
        <w:top w:val="none" w:sz="0" w:space="0" w:color="000000"/>
        <w:left w:val="none" w:sz="0" w:space="0" w:color="000000"/>
        <w:bottom w:val="single" w:sz="4" w:space="1" w:color="000000"/>
        <w:right w:val="none" w:sz="0" w:space="0" w:color="000000"/>
        <w:between w:val="none" w:sz="0" w:space="0" w:color="000000"/>
      </w:pBdr>
      <w:tabs>
        <w:tab w:val="center" w:pos="4252"/>
        <w:tab w:val="right" w:pos="8504"/>
        <w:tab w:val="right" w:pos="8789"/>
      </w:tabs>
    </w:pPr>
    <w:r>
      <w:rPr>
        <w:rFonts w:ascii="Times New Roman" w:eastAsia="Times New Roman" w:hAnsi="Times New Roman" w:cs="Times New Roman"/>
        <w:b/>
        <w:i/>
      </w:rPr>
      <w:t>Pregão Eletrônico UFPB/SOF/CLC Nº 90014 / 2024</w:t>
    </w:r>
    <w:r>
      <w:rPr>
        <w:rFonts w:ascii="Times New Roman" w:eastAsia="Times New Roman" w:hAnsi="Times New Roman" w:cs="Times New Roman"/>
        <w:b/>
        <w:i/>
      </w:rPr>
      <w:tab/>
      <w:t xml:space="preserve">Página </w:t>
    </w:r>
    <w:r>
      <w:rPr>
        <w:rFonts w:ascii="Times New Roman" w:eastAsia="Times New Roman" w:hAnsi="Times New Roman" w:cs="Times New Roman"/>
        <w:b/>
        <w:i/>
      </w:rPr>
      <w:fldChar w:fldCharType="begin"/>
    </w:r>
    <w:r>
      <w:rPr>
        <w:rFonts w:ascii="Times New Roman" w:eastAsia="Times New Roman" w:hAnsi="Times New Roman" w:cs="Times New Roman"/>
        <w:b/>
        <w:i/>
      </w:rPr>
      <w:instrText>PAGE</w:instrText>
    </w:r>
    <w:r>
      <w:rPr>
        <w:rFonts w:ascii="Times New Roman" w:eastAsia="Times New Roman" w:hAnsi="Times New Roman" w:cs="Times New Roman"/>
        <w:b/>
        <w:i/>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72138"/>
    <w:multiLevelType w:val="multilevel"/>
    <w:tmpl w:val="42DC51EA"/>
    <w:lvl w:ilvl="0">
      <w:start w:val="9"/>
      <w:numFmt w:val="decimal"/>
      <w:lvlText w:val="%1"/>
      <w:lvlJc w:val="left"/>
      <w:pPr>
        <w:ind w:left="360" w:hanging="360"/>
      </w:pPr>
    </w:lvl>
    <w:lvl w:ilvl="1">
      <w:start w:val="1"/>
      <w:numFmt w:val="decimal"/>
      <w:lvlText w:val="%1.%2"/>
      <w:lvlJc w:val="left"/>
      <w:pPr>
        <w:ind w:left="360" w:hanging="360"/>
      </w:pPr>
      <w:rPr>
        <w:b w:val="0"/>
        <w:i w:val="0"/>
        <w:strike w:val="0"/>
        <w:color w:val="000000"/>
      </w:rPr>
    </w:lvl>
    <w:lvl w:ilvl="2">
      <w:start w:val="1"/>
      <w:numFmt w:val="decimal"/>
      <w:pStyle w:val="Nvel3-R"/>
      <w:lvlText w:val="%1.%2.%3"/>
      <w:lvlJc w:val="left"/>
      <w:pPr>
        <w:ind w:left="720" w:hanging="720"/>
      </w:pPr>
      <w:rPr>
        <w:b w:val="0"/>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3C4C6249"/>
    <w:multiLevelType w:val="multilevel"/>
    <w:tmpl w:val="B23408F2"/>
    <w:lvl w:ilvl="0">
      <w:start w:val="1"/>
      <w:numFmt w:val="decimal"/>
      <w:pStyle w:val="Commarcadores5"/>
      <w:lvlText w:val="%1."/>
      <w:lvlJc w:val="left"/>
      <w:pPr>
        <w:ind w:left="502" w:hanging="360"/>
      </w:pPr>
    </w:lvl>
    <w:lvl w:ilvl="1">
      <w:start w:val="5"/>
      <w:numFmt w:val="decimal"/>
      <w:lvlText w:val="%1.%2"/>
      <w:lvlJc w:val="left"/>
      <w:pPr>
        <w:ind w:left="622" w:hanging="480"/>
      </w:pPr>
      <w:rPr>
        <w:b/>
        <w:i/>
      </w:rPr>
    </w:lvl>
    <w:lvl w:ilvl="2">
      <w:start w:val="1"/>
      <w:numFmt w:val="decimal"/>
      <w:lvlText w:val="%1.%2.%3"/>
      <w:lvlJc w:val="left"/>
      <w:pPr>
        <w:ind w:left="862" w:hanging="720"/>
      </w:pPr>
      <w:rPr>
        <w:b w:val="0"/>
        <w:i w:val="0"/>
      </w:rPr>
    </w:lvl>
    <w:lvl w:ilvl="3">
      <w:start w:val="1"/>
      <w:numFmt w:val="decimal"/>
      <w:lvlText w:val="%1.%2.%3.%4"/>
      <w:lvlJc w:val="left"/>
      <w:pPr>
        <w:ind w:left="862" w:hanging="720"/>
      </w:pPr>
      <w:rPr>
        <w:b/>
        <w:i/>
      </w:rPr>
    </w:lvl>
    <w:lvl w:ilvl="4">
      <w:start w:val="1"/>
      <w:numFmt w:val="decimal"/>
      <w:lvlText w:val="%1.%2.%3.%4.%5"/>
      <w:lvlJc w:val="left"/>
      <w:pPr>
        <w:ind w:left="1222" w:hanging="1080"/>
      </w:pPr>
      <w:rPr>
        <w:b/>
        <w:i/>
      </w:rPr>
    </w:lvl>
    <w:lvl w:ilvl="5">
      <w:start w:val="1"/>
      <w:numFmt w:val="decimal"/>
      <w:lvlText w:val="%1.%2.%3.%4.%5.%6"/>
      <w:lvlJc w:val="left"/>
      <w:pPr>
        <w:ind w:left="1222" w:hanging="1080"/>
      </w:pPr>
      <w:rPr>
        <w:b/>
        <w:i/>
      </w:rPr>
    </w:lvl>
    <w:lvl w:ilvl="6">
      <w:start w:val="1"/>
      <w:numFmt w:val="decimal"/>
      <w:lvlText w:val="%1.%2.%3.%4.%5.%6.%7"/>
      <w:lvlJc w:val="left"/>
      <w:pPr>
        <w:ind w:left="1582" w:hanging="1440"/>
      </w:pPr>
      <w:rPr>
        <w:b/>
        <w:i/>
      </w:rPr>
    </w:lvl>
    <w:lvl w:ilvl="7">
      <w:start w:val="1"/>
      <w:numFmt w:val="decimal"/>
      <w:lvlText w:val="%1.%2.%3.%4.%5.%6.%7.%8"/>
      <w:lvlJc w:val="left"/>
      <w:pPr>
        <w:ind w:left="1582" w:hanging="1440"/>
      </w:pPr>
      <w:rPr>
        <w:b/>
        <w:i/>
      </w:rPr>
    </w:lvl>
    <w:lvl w:ilvl="8">
      <w:start w:val="1"/>
      <w:numFmt w:val="decimal"/>
      <w:lvlText w:val="%1.%2.%3.%4.%5.%6.%7.%8.%9"/>
      <w:lvlJc w:val="left"/>
      <w:pPr>
        <w:ind w:left="1942" w:hanging="1800"/>
      </w:pPr>
      <w:rPr>
        <w:b/>
        <w:i/>
      </w:rPr>
    </w:lvl>
  </w:abstractNum>
  <w:abstractNum w:abstractNumId="2" w15:restartNumberingAfterBreak="0">
    <w:nsid w:val="45E0715F"/>
    <w:multiLevelType w:val="multilevel"/>
    <w:tmpl w:val="201AEB24"/>
    <w:lvl w:ilvl="0">
      <w:start w:val="1"/>
      <w:numFmt w:val="decimal"/>
      <w:pStyle w:val="Nivel1"/>
      <w:lvlText w:val="%1"/>
      <w:lvlJc w:val="left"/>
      <w:pPr>
        <w:ind w:left="1567" w:hanging="1425"/>
      </w:pPr>
      <w:rPr>
        <w:b/>
      </w:rPr>
    </w:lvl>
    <w:lvl w:ilvl="1">
      <w:start w:val="1"/>
      <w:numFmt w:val="decimal"/>
      <w:lvlText w:val="%1.%2"/>
      <w:lvlJc w:val="left"/>
      <w:pPr>
        <w:ind w:left="502" w:hanging="360"/>
      </w:pPr>
      <w:rPr>
        <w:b w:val="0"/>
        <w:i w:val="0"/>
        <w:strike w:val="0"/>
        <w:color w:val="000000"/>
      </w:rPr>
    </w:lvl>
    <w:lvl w:ilvl="2">
      <w:start w:val="1"/>
      <w:numFmt w:val="decimal"/>
      <w:lvlText w:val="%1.%2.%3"/>
      <w:lvlJc w:val="left"/>
      <w:pPr>
        <w:ind w:left="720" w:hanging="720"/>
      </w:pPr>
      <w:rPr>
        <w:b w:val="0"/>
        <w:i w:val="0"/>
        <w:strike w:val="0"/>
        <w:color w:val="000000"/>
      </w:rPr>
    </w:lvl>
    <w:lvl w:ilvl="3">
      <w:start w:val="1"/>
      <w:numFmt w:val="decimal"/>
      <w:lvlText w:val="%1.%2.%3.%4"/>
      <w:lvlJc w:val="left"/>
      <w:pPr>
        <w:ind w:left="1080" w:hanging="720"/>
      </w:pPr>
      <w:rPr>
        <w:b w:val="0"/>
        <w:i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6670D9A"/>
    <w:multiLevelType w:val="multilevel"/>
    <w:tmpl w:val="0DF23980"/>
    <w:lvl w:ilvl="0">
      <w:start w:val="8"/>
      <w:numFmt w:val="decimal"/>
      <w:lvlText w:val="%1"/>
      <w:lvlJc w:val="left"/>
      <w:pPr>
        <w:ind w:left="1567" w:hanging="1425"/>
      </w:pPr>
      <w:rPr>
        <w:b/>
      </w:rPr>
    </w:lvl>
    <w:lvl w:ilvl="1">
      <w:start w:val="15"/>
      <w:numFmt w:val="decimal"/>
      <w:lvlText w:val="%1.%2"/>
      <w:lvlJc w:val="left"/>
      <w:pPr>
        <w:ind w:left="502" w:hanging="360"/>
      </w:pPr>
      <w:rPr>
        <w:b w:val="0"/>
        <w:i w:val="0"/>
        <w:strike w:val="0"/>
        <w:color w:val="000000"/>
      </w:rPr>
    </w:lvl>
    <w:lvl w:ilvl="2">
      <w:start w:val="1"/>
      <w:numFmt w:val="decimal"/>
      <w:lvlText w:val="%1.%2.%3"/>
      <w:lvlJc w:val="left"/>
      <w:pPr>
        <w:ind w:left="720" w:hanging="720"/>
      </w:pPr>
      <w:rPr>
        <w:b w:val="0"/>
        <w:i w:val="0"/>
        <w:strike w:val="0"/>
        <w:color w:val="000000"/>
      </w:rPr>
    </w:lvl>
    <w:lvl w:ilvl="3">
      <w:start w:val="1"/>
      <w:numFmt w:val="decimal"/>
      <w:lvlText w:val="%1.%2.%3.%4"/>
      <w:lvlJc w:val="left"/>
      <w:pPr>
        <w:ind w:left="1080" w:hanging="720"/>
      </w:pPr>
      <w:rPr>
        <w:b w:val="0"/>
        <w:i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EA8"/>
    <w:rsid w:val="0039755F"/>
    <w:rsid w:val="007C04D2"/>
    <w:rsid w:val="008C7EA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6D384"/>
  <w15:docId w15:val="{44D6BB73-9DB2-48D2-858D-A3A8731C9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240"/>
      <w:outlineLvl w:val="0"/>
    </w:pPr>
    <w:rPr>
      <w:rFonts w:ascii="Cambria" w:eastAsia="Cambria" w:hAnsi="Cambria" w:cs="Cambria"/>
      <w:color w:val="365F91"/>
      <w:sz w:val="32"/>
      <w:szCs w:val="32"/>
    </w:rPr>
  </w:style>
  <w:style w:type="paragraph" w:styleId="Ttulo2">
    <w:name w:val="heading 2"/>
    <w:basedOn w:val="Normal"/>
    <w:next w:val="Normal"/>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character" w:styleId="Forte">
    <w:name w:val="Strong"/>
    <w:uiPriority w:val="22"/>
    <w:qFormat/>
    <w:rPr>
      <w:b/>
      <w:bCs/>
    </w:rPr>
  </w:style>
  <w:style w:type="character" w:styleId="Refdecomentrio">
    <w:name w:val="annotation reference"/>
    <w:basedOn w:val="Fontepargpadro"/>
    <w:unhideWhenUsed/>
    <w:qFormat/>
    <w:rPr>
      <w:sz w:val="18"/>
      <w:szCs w:val="18"/>
    </w:rPr>
  </w:style>
  <w:style w:type="character" w:styleId="Refdenotaderodap">
    <w:name w:val="footnote reference"/>
    <w:semiHidden/>
    <w:unhideWhenUsed/>
    <w:rPr>
      <w:vertAlign w:val="superscript"/>
    </w:rPr>
  </w:style>
  <w:style w:type="character" w:styleId="Hyperlink">
    <w:name w:val="Hyperlink"/>
    <w:uiPriority w:val="99"/>
    <w:qFormat/>
    <w:rPr>
      <w:color w:val="000080"/>
      <w:u w:val="single"/>
    </w:rPr>
  </w:style>
  <w:style w:type="paragraph" w:styleId="Textodecomentrio">
    <w:name w:val="annotation text"/>
    <w:basedOn w:val="Normal"/>
    <w:link w:val="TextodecomentrioChar"/>
    <w:unhideWhenUsed/>
    <w:qFormat/>
    <w:rPr>
      <w:sz w:val="24"/>
    </w:rPr>
  </w:style>
  <w:style w:type="paragraph" w:styleId="Commarcadores5">
    <w:name w:val="List Bullet 5"/>
    <w:basedOn w:val="Normal"/>
    <w:qFormat/>
    <w:pPr>
      <w:numPr>
        <w:numId w:val="1"/>
      </w:numPr>
      <w:contextualSpacing/>
    </w:pPr>
  </w:style>
  <w:style w:type="paragraph" w:styleId="NormalWeb">
    <w:name w:val="Normal (Web)"/>
    <w:basedOn w:val="Normal"/>
    <w:uiPriority w:val="99"/>
    <w:pPr>
      <w:spacing w:before="100" w:beforeAutospacing="1" w:after="100" w:afterAutospacing="1"/>
    </w:pPr>
    <w:rPr>
      <w:rFonts w:ascii="Times New Roman" w:hAnsi="Times New Roman" w:cs="Times New Roman"/>
    </w:rPr>
  </w:style>
  <w:style w:type="paragraph" w:styleId="Cabealho">
    <w:name w:val="header"/>
    <w:basedOn w:val="Normal"/>
    <w:link w:val="CabealhoChar"/>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styleId="Textodebalo">
    <w:name w:val="Balloon Text"/>
    <w:basedOn w:val="Normal"/>
    <w:link w:val="TextodebaloChar"/>
    <w:qFormat/>
    <w:rPr>
      <w:rFonts w:ascii="Tahoma" w:hAnsi="Tahoma"/>
      <w:sz w:val="16"/>
      <w:szCs w:val="16"/>
    </w:rPr>
  </w:style>
  <w:style w:type="paragraph" w:styleId="Textodenotaderodap">
    <w:name w:val="footnote text"/>
    <w:basedOn w:val="Normal"/>
    <w:link w:val="TextodenotaderodapChar"/>
    <w:unhideWhenUsed/>
    <w:qFormat/>
  </w:style>
  <w:style w:type="table" w:styleId="Tabelacomgrade">
    <w:name w:val="Table Grid"/>
    <w:basedOn w:val="Tabelanormal"/>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
    <w:tblPr>
      <w:tblCellMar>
        <w:top w:w="0" w:type="dxa"/>
        <w:left w:w="0" w:type="dxa"/>
        <w:bottom w:w="0" w:type="dxa"/>
        <w:right w:w="0" w:type="dxa"/>
      </w:tblCellMar>
    </w:tblPr>
  </w:style>
  <w:style w:type="paragraph" w:styleId="PargrafodaLista">
    <w:name w:val="List Paragraph"/>
    <w:basedOn w:val="Normal"/>
    <w:uiPriority w:val="34"/>
    <w:qFormat/>
    <w:pPr>
      <w:ind w:left="720"/>
      <w:contextualSpacing/>
    </w:pPr>
  </w:style>
  <w:style w:type="character" w:customStyle="1" w:styleId="TextodebaloChar">
    <w:name w:val="Texto de balão Char"/>
    <w:link w:val="Textodebalo"/>
    <w:qFormat/>
    <w:rPr>
      <w:rFonts w:ascii="Tahoma" w:hAnsi="Tahoma" w:cs="Tahoma"/>
      <w:sz w:val="16"/>
      <w:szCs w:val="16"/>
    </w:rPr>
  </w:style>
  <w:style w:type="character" w:customStyle="1" w:styleId="Ttulo2Char">
    <w:name w:val="Título 2 Char"/>
    <w:rPr>
      <w:b/>
      <w:color w:val="000000"/>
      <w:sz w:val="24"/>
    </w:rPr>
  </w:style>
  <w:style w:type="paragraph" w:customStyle="1" w:styleId="Nvel2">
    <w:name w:val="Nível 2"/>
    <w:basedOn w:val="Normal"/>
    <w:next w:val="Normal"/>
    <w:pPr>
      <w:spacing w:after="120"/>
      <w:jc w:val="both"/>
    </w:pPr>
    <w:rPr>
      <w:rFonts w:cs="Times New Roman"/>
      <w:b/>
    </w:rPr>
  </w:style>
  <w:style w:type="character" w:customStyle="1" w:styleId="normalchar1">
    <w:name w:val="normal__char1"/>
    <w:qFormat/>
    <w:rPr>
      <w:rFonts w:ascii="Arial" w:hAnsi="Arial" w:cs="Arial" w:hint="default"/>
      <w:sz w:val="24"/>
      <w:szCs w:val="24"/>
      <w:u w:val="none"/>
    </w:rPr>
  </w:style>
  <w:style w:type="character" w:customStyle="1" w:styleId="apple-style-span">
    <w:name w:val="apple-style-span"/>
    <w:basedOn w:val="Fontepargpadro"/>
    <w:qFormat/>
  </w:style>
  <w:style w:type="paragraph" w:styleId="Citao">
    <w:name w:val="Quote"/>
    <w:aliases w:val="TCU,Citação AGU,NotaExplicativa"/>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aliases w:val="TCU Char,Citação AGU Char,NotaExplicativa Char"/>
    <w:link w:val="Citao"/>
    <w:qFormat/>
    <w:rPr>
      <w:rFonts w:ascii="Ecofont_Spranq_eco_Sans" w:eastAsia="Calibri" w:hAnsi="Ecofont_Spranq_eco_Sans" w:cs="Tahoma"/>
      <w:i/>
      <w:iCs/>
      <w:color w:val="000000"/>
      <w:szCs w:val="24"/>
      <w:shd w:val="clear" w:color="auto" w:fill="FFFFCC"/>
      <w:lang w:eastAsia="en-US"/>
    </w:rPr>
  </w:style>
  <w:style w:type="paragraph" w:customStyle="1" w:styleId="citao2">
    <w:name w:val="citação 2"/>
    <w:basedOn w:val="Citao"/>
    <w:link w:val="citao2Char"/>
    <w:qFormat/>
  </w:style>
  <w:style w:type="character" w:customStyle="1" w:styleId="citao2Char">
    <w:name w:val="citação 2 Char"/>
    <w:link w:val="citao2"/>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link w:val="Cabealho"/>
    <w:qFormat/>
    <w:rPr>
      <w:rFonts w:ascii="Ecofont_Spranq_eco_Sans" w:hAnsi="Ecofont_Spranq_eco_Sans" w:cs="Tahoma"/>
      <w:sz w:val="24"/>
      <w:szCs w:val="24"/>
    </w:rPr>
  </w:style>
  <w:style w:type="character" w:customStyle="1" w:styleId="RodapChar">
    <w:name w:val="Rodapé Char"/>
    <w:link w:val="Rodap"/>
    <w:uiPriority w:val="99"/>
    <w:qFormat/>
    <w:rPr>
      <w:rFonts w:ascii="Ecofont_Spranq_eco_Sans" w:hAnsi="Ecofont_Spranq_eco_Sans" w:cs="Tahoma"/>
      <w:sz w:val="24"/>
      <w:szCs w:val="24"/>
    </w:rPr>
  </w:style>
  <w:style w:type="paragraph" w:customStyle="1" w:styleId="em0020ementa">
    <w:name w:val="em_0020ementa"/>
    <w:basedOn w:val="Normal"/>
    <w:qFormat/>
    <w:pPr>
      <w:ind w:left="4160"/>
      <w:jc w:val="both"/>
    </w:pPr>
    <w:rPr>
      <w:rFonts w:ascii="Times New Roman" w:hAnsi="Times New Roman" w:cs="Times New Roman"/>
      <w:sz w:val="28"/>
      <w:szCs w:val="28"/>
    </w:rPr>
  </w:style>
  <w:style w:type="character" w:customStyle="1" w:styleId="cp0020corpodespachochar1">
    <w:name w:val="cp_0020corpodespacho__char1"/>
    <w:qFormat/>
    <w:rPr>
      <w:rFonts w:ascii="Times New Roman" w:hAnsi="Times New Roman" w:cs="Times New Roman" w:hint="default"/>
      <w:sz w:val="26"/>
      <w:szCs w:val="26"/>
      <w:u w:val="none"/>
    </w:rPr>
  </w:style>
  <w:style w:type="character" w:customStyle="1" w:styleId="em0020ementachar1">
    <w:name w:val="em_0020ementa__char1"/>
    <w:qFormat/>
    <w:rPr>
      <w:rFonts w:ascii="Times New Roman" w:hAnsi="Times New Roman" w:cs="Times New Roman" w:hint="default"/>
      <w:sz w:val="28"/>
      <w:szCs w:val="28"/>
      <w:u w:val="none"/>
    </w:rPr>
  </w:style>
  <w:style w:type="paragraph" w:customStyle="1" w:styleId="Nivel1">
    <w:name w:val="Nivel1"/>
    <w:next w:val="Normal"/>
    <w:link w:val="Nivel1Char"/>
    <w:qFormat/>
    <w:pPr>
      <w:numPr>
        <w:numId w:val="2"/>
      </w:numPr>
      <w:spacing w:before="480" w:after="120" w:line="276" w:lineRule="auto"/>
      <w:jc w:val="both"/>
    </w:pPr>
    <w:rPr>
      <w:b/>
      <w:color w:val="000000"/>
    </w:rPr>
  </w:style>
  <w:style w:type="character" w:customStyle="1" w:styleId="Ttulo1Char">
    <w:name w:val="Título 1 Char"/>
    <w:qFormat/>
    <w:rPr>
      <w:rFonts w:ascii="Cambria" w:eastAsia="Times New Roman" w:hAnsi="Cambria" w:cs="Times New Roman"/>
      <w:color w:val="365F91"/>
      <w:sz w:val="32"/>
      <w:szCs w:val="32"/>
    </w:rPr>
  </w:style>
  <w:style w:type="character" w:customStyle="1" w:styleId="Nivel1Char">
    <w:name w:val="Nivel1 Char"/>
    <w:link w:val="Nivel1"/>
    <w:qFormat/>
    <w:rPr>
      <w:rFonts w:ascii="Arial" w:hAnsi="Arial" w:cs="Arial"/>
      <w:b/>
      <w:color w:val="000000"/>
    </w:rPr>
  </w:style>
  <w:style w:type="paragraph" w:customStyle="1" w:styleId="Nivel01">
    <w:name w:val="Nivel 01"/>
    <w:next w:val="Normal"/>
    <w:link w:val="Nivel01Char"/>
    <w:qFormat/>
    <w:pPr>
      <w:spacing w:before="480" w:after="120" w:line="276" w:lineRule="auto"/>
      <w:ind w:left="360" w:right="-15" w:hanging="360"/>
      <w:jc w:val="both"/>
    </w:pPr>
    <w:rPr>
      <w:b/>
      <w:bCs/>
      <w:color w:val="000000"/>
    </w:rPr>
  </w:style>
  <w:style w:type="character" w:customStyle="1" w:styleId="Nivel01Char">
    <w:name w:val="Nivel 01 Char"/>
    <w:link w:val="Nivel01"/>
    <w:rPr>
      <w:rFonts w:ascii="Arial" w:eastAsia="Times New Roman" w:hAnsi="Arial" w:cs="Times New Roman"/>
      <w:b/>
      <w:bCs/>
      <w:color w:val="000000"/>
      <w:sz w:val="32"/>
      <w:szCs w:val="32"/>
    </w:rPr>
  </w:style>
  <w:style w:type="paragraph" w:customStyle="1" w:styleId="xl49">
    <w:name w:val="xl49"/>
    <w:basedOn w:val="Normal"/>
    <w:pPr>
      <w:spacing w:before="100" w:after="100"/>
      <w:jc w:val="center"/>
    </w:pPr>
    <w:rPr>
      <w:rFonts w:cs="Times New Roman"/>
      <w:b/>
      <w:sz w:val="24"/>
    </w:rPr>
  </w:style>
  <w:style w:type="character" w:customStyle="1" w:styleId="apple-converted-space">
    <w:name w:val="apple-converted-space"/>
    <w:basedOn w:val="Fontepargpadro"/>
  </w:style>
  <w:style w:type="character" w:customStyle="1" w:styleId="TextodecomentrioChar">
    <w:name w:val="Texto de comentário Char"/>
    <w:link w:val="Textodecomentrio"/>
    <w:qFormat/>
    <w:rPr>
      <w:rFonts w:ascii="Arial" w:hAnsi="Arial" w:cs="Tahoma"/>
      <w:sz w:val="24"/>
      <w:szCs w:val="24"/>
    </w:rPr>
  </w:style>
  <w:style w:type="paragraph" w:customStyle="1" w:styleId="Estilo1">
    <w:name w:val="Estilo1"/>
    <w:basedOn w:val="Normal"/>
    <w:pPr>
      <w:keepLines/>
      <w:overflowPunct w:val="0"/>
      <w:autoSpaceDE w:val="0"/>
      <w:autoSpaceDN w:val="0"/>
      <w:adjustRightInd w:val="0"/>
      <w:spacing w:before="360" w:after="120"/>
      <w:jc w:val="center"/>
      <w:textAlignment w:val="baseline"/>
    </w:pPr>
    <w:rPr>
      <w:rFonts w:cs="Times New Roman"/>
      <w:b/>
      <w:caps/>
      <w:sz w:val="24"/>
    </w:rPr>
  </w:style>
  <w:style w:type="character" w:customStyle="1" w:styleId="TextodenotaderodapChar">
    <w:name w:val="Texto de nota de rodapé Char"/>
    <w:link w:val="Textodenotaderodap"/>
    <w:qFormat/>
    <w:rPr>
      <w:rFonts w:ascii="Arial" w:hAnsi="Arial" w:cs="Tahoma"/>
    </w:rPr>
  </w:style>
  <w:style w:type="paragraph" w:customStyle="1" w:styleId="PADRO">
    <w:name w:val="PADRÃO"/>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xwestern">
    <w:name w:val="x_western"/>
    <w:basedOn w:val="Normal"/>
    <w:qFormat/>
    <w:pPr>
      <w:spacing w:before="100" w:beforeAutospacing="1" w:after="100" w:afterAutospacing="1"/>
    </w:pPr>
    <w:rPr>
      <w:rFonts w:ascii="Times New Roman" w:hAnsi="Times New Roman" w:cs="Times New Roman"/>
      <w:sz w:val="24"/>
    </w:rPr>
  </w:style>
  <w:style w:type="paragraph" w:customStyle="1" w:styleId="Nivel2">
    <w:name w:val="Nivel 2"/>
    <w:basedOn w:val="Normal"/>
    <w:link w:val="Nivel2Char"/>
    <w:qFormat/>
    <w:pPr>
      <w:spacing w:before="120" w:after="120" w:line="276" w:lineRule="auto"/>
      <w:ind w:left="4969" w:hanging="432"/>
      <w:jc w:val="both"/>
    </w:pPr>
    <w:rPr>
      <w:rFonts w:eastAsiaTheme="minorEastAsia"/>
      <w:color w:val="000000"/>
    </w:rPr>
  </w:style>
  <w:style w:type="paragraph" w:customStyle="1" w:styleId="Nivel3">
    <w:name w:val="Nivel 3"/>
    <w:basedOn w:val="Normal"/>
    <w:link w:val="Nivel3Char"/>
    <w:qFormat/>
    <w:pPr>
      <w:spacing w:before="120" w:after="120" w:line="276" w:lineRule="auto"/>
      <w:ind w:left="3198" w:hanging="504"/>
      <w:jc w:val="both"/>
    </w:pPr>
    <w:rPr>
      <w:rFonts w:eastAsiaTheme="minorEastAsia"/>
      <w:color w:val="000000"/>
    </w:rPr>
  </w:style>
  <w:style w:type="paragraph" w:customStyle="1" w:styleId="Nivel4">
    <w:name w:val="Nivel 4"/>
    <w:basedOn w:val="Nivel3"/>
    <w:link w:val="Nivel4Char"/>
    <w:qFormat/>
    <w:pPr>
      <w:tabs>
        <w:tab w:val="left" w:pos="1492"/>
      </w:tabs>
      <w:ind w:left="851" w:firstLine="0"/>
    </w:pPr>
    <w:rPr>
      <w:color w:val="auto"/>
    </w:rPr>
  </w:style>
  <w:style w:type="paragraph" w:customStyle="1" w:styleId="Nivel5">
    <w:name w:val="Nivel 5"/>
    <w:basedOn w:val="Nivel4"/>
    <w:qFormat/>
    <w:pPr>
      <w:ind w:left="1276"/>
    </w:pPr>
  </w:style>
  <w:style w:type="character" w:customStyle="1" w:styleId="Nivel3Char">
    <w:name w:val="Nivel 3 Char"/>
    <w:basedOn w:val="Fontepargpadro"/>
    <w:link w:val="Nivel3"/>
    <w:qFormat/>
    <w:rPr>
      <w:rFonts w:ascii="Arial" w:eastAsiaTheme="minorEastAsia" w:hAnsi="Arial" w:cs="Arial"/>
      <w:color w:val="000000"/>
    </w:rPr>
  </w:style>
  <w:style w:type="character" w:customStyle="1" w:styleId="Nivel2Char">
    <w:name w:val="Nivel 2 Char"/>
    <w:basedOn w:val="Fontepargpadro"/>
    <w:link w:val="Nivel2"/>
    <w:locked/>
    <w:rPr>
      <w:rFonts w:ascii="Arial" w:eastAsiaTheme="minorEastAsia" w:hAnsi="Arial" w:cs="Arial"/>
      <w:color w:val="000000"/>
    </w:rPr>
  </w:style>
  <w:style w:type="character" w:customStyle="1" w:styleId="Nivel4Char">
    <w:name w:val="Nivel 4 Char"/>
    <w:basedOn w:val="Fontepargpadro"/>
    <w:link w:val="Nivel4"/>
    <w:qFormat/>
    <w:rPr>
      <w:rFonts w:ascii="Arial" w:eastAsiaTheme="minorEastAsia" w:hAnsi="Arial" w:cs="Arial"/>
    </w:rPr>
  </w:style>
  <w:style w:type="table" w:customStyle="1" w:styleId="Style61">
    <w:name w:val="_Style 61"/>
    <w:basedOn w:val="TableNormal10"/>
    <w:tblPr>
      <w:tblCellMar>
        <w:left w:w="115" w:type="dxa"/>
        <w:right w:w="115" w:type="dxa"/>
      </w:tblCellMar>
    </w:tblPr>
  </w:style>
  <w:style w:type="table" w:customStyle="1" w:styleId="4">
    <w:name w:val="4"/>
    <w:basedOn w:val="TableNormal2"/>
    <w:tblPr>
      <w:tblStyleRowBandSize w:val="1"/>
      <w:tblStyleColBandSize w:val="1"/>
      <w:tblCellMar>
        <w:left w:w="115" w:type="dxa"/>
        <w:right w:w="115" w:type="dxa"/>
      </w:tblCellMar>
    </w:tblPr>
  </w:style>
  <w:style w:type="character" w:customStyle="1" w:styleId="normaltextrun">
    <w:name w:val="normaltextrun"/>
    <w:basedOn w:val="Fontepargpadro"/>
    <w:rsid w:val="00421C69"/>
  </w:style>
  <w:style w:type="character" w:customStyle="1" w:styleId="eop">
    <w:name w:val="eop"/>
    <w:basedOn w:val="Fontepargpadro"/>
    <w:rsid w:val="00421C69"/>
  </w:style>
  <w:style w:type="table" w:customStyle="1" w:styleId="3">
    <w:name w:val="3"/>
    <w:basedOn w:val="TableNormal2"/>
    <w:tblPr>
      <w:tblStyleRowBandSize w:val="1"/>
      <w:tblStyleColBandSize w:val="1"/>
      <w:tblCellMar>
        <w:left w:w="115" w:type="dxa"/>
        <w:right w:w="115" w:type="dxa"/>
      </w:tblCellMar>
    </w:tblPr>
  </w:style>
  <w:style w:type="table" w:customStyle="1" w:styleId="2">
    <w:name w:val="2"/>
    <w:basedOn w:val="TableNormal3"/>
    <w:tblPr>
      <w:tblStyleRowBandSize w:val="1"/>
      <w:tblStyleColBandSize w:val="1"/>
      <w:tblCellMar>
        <w:left w:w="115" w:type="dxa"/>
        <w:right w:w="115" w:type="dxa"/>
      </w:tblCellMar>
    </w:tblPr>
  </w:style>
  <w:style w:type="paragraph" w:customStyle="1" w:styleId="Nvel2-Red">
    <w:name w:val="Nível 2 -Red"/>
    <w:basedOn w:val="Nivel2"/>
    <w:link w:val="Nvel2-RedChar"/>
    <w:qFormat/>
    <w:rsid w:val="00483C7A"/>
    <w:pPr>
      <w:numPr>
        <w:ilvl w:val="1"/>
      </w:numPr>
      <w:ind w:left="4969" w:hanging="432"/>
    </w:pPr>
    <w:rPr>
      <w:i/>
      <w:iCs/>
      <w:color w:val="FF0000"/>
    </w:rPr>
  </w:style>
  <w:style w:type="character" w:customStyle="1" w:styleId="Nvel2-RedChar">
    <w:name w:val="Nível 2 -Red Char"/>
    <w:basedOn w:val="Nivel2Char"/>
    <w:link w:val="Nvel2-Red"/>
    <w:rsid w:val="00483C7A"/>
    <w:rPr>
      <w:rFonts w:ascii="Arial" w:eastAsiaTheme="minorEastAsia" w:hAnsi="Arial" w:cs="Arial"/>
      <w:i/>
      <w:iCs/>
      <w:color w:val="FF0000"/>
    </w:rPr>
  </w:style>
  <w:style w:type="paragraph" w:customStyle="1" w:styleId="Nvel3-R">
    <w:name w:val="Nível 3-R"/>
    <w:basedOn w:val="Nivel3"/>
    <w:link w:val="Nvel3-RChar"/>
    <w:qFormat/>
    <w:rsid w:val="00BC51E1"/>
    <w:pPr>
      <w:numPr>
        <w:ilvl w:val="2"/>
        <w:numId w:val="4"/>
      </w:numPr>
      <w:ind w:left="284" w:firstLine="0"/>
    </w:pPr>
    <w:rPr>
      <w:i/>
      <w:iCs/>
      <w:color w:val="FF0000"/>
    </w:rPr>
  </w:style>
  <w:style w:type="character" w:customStyle="1" w:styleId="Nvel3-RChar">
    <w:name w:val="Nível 3-R Char"/>
    <w:basedOn w:val="Nivel3Char"/>
    <w:link w:val="Nvel3-R"/>
    <w:rsid w:val="00BC51E1"/>
    <w:rPr>
      <w:rFonts w:ascii="Arial" w:eastAsiaTheme="minorEastAsia" w:hAnsi="Arial" w:cs="Arial"/>
      <w:i/>
      <w:iCs/>
      <w:color w:val="FF0000"/>
    </w:rPr>
  </w:style>
  <w:style w:type="table" w:customStyle="1" w:styleId="1">
    <w:name w:val="1"/>
    <w:basedOn w:val="TableNormal4"/>
    <w:tblPr>
      <w:tblStyleRowBandSize w:val="1"/>
      <w:tblStyleColBandSize w:val="1"/>
      <w:tblCellMar>
        <w:left w:w="115" w:type="dxa"/>
        <w:right w:w="115" w:type="dxa"/>
      </w:tblCellMar>
    </w:tblPr>
  </w:style>
  <w:style w:type="table" w:customStyle="1" w:styleId="a">
    <w:basedOn w:val="TableNormal1"/>
    <w:tblPr>
      <w:tblStyleRowBandSize w:val="1"/>
      <w:tblStyleColBandSize w:val="1"/>
      <w:tblCellMar>
        <w:left w:w="115" w:type="dxa"/>
        <w:right w:w="115"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0">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sipac.ufpb.br/public/jsp/portal.jsf"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mailto:licitacoes@sof.ufpb.br"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ufpb.br/sof/servicos/contratacoes-em-andamento/"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mailto:licitacoes@sof.ufpb.br" TargetMode="Externa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4.xml"/><Relationship Id="rId10" Type="http://schemas.openxmlformats.org/officeDocument/2006/relationships/hyperlink" Target="https://www.gov.br/compras/pt-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gov.br/compras/pt-br/acesso-a-informacao/legislacao/instrucoes-normativas/instrucao-normativa-seges-me-no-73-de-30-de-setembro-de-2022"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2.xm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eader" Target="header3.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gov.br/compras/pt-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6/decreto/d8660.htm" TargetMode="External"/><Relationship Id="rId38" Type="http://schemas.openxmlformats.org/officeDocument/2006/relationships/hyperlink" Target="https://sipac.ufpb.br/public/jsp/portal.jsf" TargetMode="External"/><Relationship Id="rId46"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gov.br/compras/pt-br/acesso-a-informacao/legislacao/instrucoes-normativas/instrucao-normativa-seges-me-no-73-de-30-de-setembro-de-2022" TargetMode="External"/><Relationship Id="rId2" Type="http://schemas.openxmlformats.org/officeDocument/2006/relationships/hyperlink" Target="http://www.planalto.gov.br/ccivil_03/_ato2019-2022/2021/lei/L14133.htm" TargetMode="External"/><Relationship Id="rId1" Type="http://schemas.openxmlformats.org/officeDocument/2006/relationships/hyperlink" Target="https://www.gov.br/compras/pt-br/acesso-a-informacao/legislacao/instrucoes-normativas/instrucao-normativa-seges-me-no-73-de-30-de-setembro-de-2022" TargetMode="External"/><Relationship Id="rId6"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hyperlink" Target="http://www.comprasnet.gov.br/" TargetMode="External"/><Relationship Id="rId4" Type="http://schemas.openxmlformats.org/officeDocument/2006/relationships/hyperlink" Target="https://www.gov.br/compras/pt-br/acesso-a-informacao/legislacao/instrucoes-normativas/instrucao-normativa-seges-me-no-73-de-30-de-setembro-de-2022"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jKF1guYw/XlTNtk/KNmJJ3nR0w==">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13242</Words>
  <Characters>71512</Characters>
  <Application>Microsoft Office Word</Application>
  <DocSecurity>0</DocSecurity>
  <Lines>595</Lines>
  <Paragraphs>169</Paragraphs>
  <ScaleCrop>false</ScaleCrop>
  <Company>HP Inc.</Company>
  <LinksUpToDate>false</LinksUpToDate>
  <CharactersWithSpaces>84585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Adriano</dc:creator>
  <cp:lastModifiedBy>cidal</cp:lastModifiedBy>
  <cp:revision>2</cp:revision>
  <dcterms:created xsi:type="dcterms:W3CDTF">2023-04-28T18:57:00Z</dcterms:created>
  <dcterms:modified xsi:type="dcterms:W3CDTF">2025-08-28T13:00:00Z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1046-11.2.0.11486</vt:lpwstr>
  </property>
  <property fmtid="{D5CDD505-2E9C-101B-9397-08002B2CF9AE}" pid="3" name="ICV">
    <vt:lpwstr>3A87445321B2475BB0E32D497B35B991</vt:lpwstr>
  </property>
</Properties>
</file>